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方正小标宋简体" w:hAnsi="宋体" w:eastAsia="方正小标宋简体"/>
          <w:sz w:val="72"/>
          <w:szCs w:val="72"/>
        </w:rPr>
      </w:pPr>
      <w:bookmarkStart w:id="0" w:name="_Toc15306267"/>
      <w:bookmarkStart w:id="1" w:name="_Toc15396597"/>
      <w:bookmarkStart w:id="2" w:name="_Toc15377193"/>
      <w:bookmarkStart w:id="3" w:name="_Toc15396475"/>
      <w:bookmarkStart w:id="4" w:name="_Toc15378441"/>
      <w:bookmarkStart w:id="5" w:name="_Toc15377425"/>
    </w:p>
    <w:p>
      <w:pPr>
        <w:spacing w:line="600" w:lineRule="exact"/>
        <w:jc w:val="center"/>
        <w:outlineLvl w:val="0"/>
        <w:rPr>
          <w:rFonts w:hint="eastAsia" w:ascii="方正小标宋简体" w:hAnsi="宋体" w:eastAsia="方正小标宋简体"/>
          <w:sz w:val="72"/>
          <w:szCs w:val="72"/>
        </w:rPr>
      </w:pPr>
    </w:p>
    <w:p>
      <w:pPr>
        <w:spacing w:line="600" w:lineRule="exact"/>
        <w:jc w:val="center"/>
        <w:outlineLvl w:val="0"/>
        <w:rPr>
          <w:rFonts w:hint="eastAsia" w:ascii="方正小标宋简体" w:hAnsi="宋体" w:eastAsia="方正小标宋简体"/>
          <w:sz w:val="72"/>
          <w:szCs w:val="72"/>
        </w:rPr>
      </w:pPr>
    </w:p>
    <w:bookmarkEnd w:id="0"/>
    <w:bookmarkEnd w:id="1"/>
    <w:bookmarkEnd w:id="2"/>
    <w:bookmarkEnd w:id="3"/>
    <w:bookmarkEnd w:id="4"/>
    <w:bookmarkEnd w:id="5"/>
    <w:p>
      <w:pPr>
        <w:pStyle w:val="9"/>
        <w:jc w:val="center"/>
        <w:rPr>
          <w:rFonts w:hint="eastAsia" w:ascii="Times New Roman" w:hAnsi="Times New Roman" w:eastAsia="方正小标宋简体" w:cs="Times New Roman"/>
          <w:color w:val="auto"/>
          <w:spacing w:val="-17"/>
          <w:kern w:val="2"/>
          <w:sz w:val="44"/>
          <w:szCs w:val="44"/>
          <w:highlight w:val="none"/>
          <w:lang w:val="en-US" w:eastAsia="zh-CN" w:bidi="ar-SA"/>
        </w:rPr>
      </w:pPr>
      <w:r>
        <w:rPr>
          <w:rFonts w:hint="eastAsia" w:ascii="Times New Roman" w:hAnsi="Times New Roman" w:eastAsia="方正小标宋简体" w:cs="Times New Roman"/>
          <w:color w:val="auto"/>
          <w:spacing w:val="-17"/>
          <w:kern w:val="2"/>
          <w:sz w:val="44"/>
          <w:szCs w:val="44"/>
          <w:highlight w:val="none"/>
          <w:lang w:val="en-US" w:eastAsia="zh-CN" w:bidi="ar-SA"/>
        </w:rPr>
        <w:t>2024年度四川省攀枝花市民族宗教事务委员会</w:t>
      </w:r>
    </w:p>
    <w:p>
      <w:pPr>
        <w:pStyle w:val="9"/>
        <w:jc w:val="center"/>
        <w:rPr>
          <w:rFonts w:hint="default" w:ascii="Times New Roman" w:hAnsi="Times New Roman" w:eastAsia="方正小标宋简体" w:cs="Times New Roman"/>
          <w:color w:val="auto"/>
          <w:kern w:val="2"/>
          <w:sz w:val="44"/>
          <w:szCs w:val="44"/>
          <w:highlight w:val="none"/>
          <w:lang w:val="en-US" w:eastAsia="zh-CN" w:bidi="ar-SA"/>
        </w:rPr>
      </w:pPr>
      <w:r>
        <w:rPr>
          <w:rFonts w:hint="eastAsia" w:ascii="Times New Roman" w:eastAsia="方正小标宋简体" w:cs="Times New Roman"/>
          <w:color w:val="auto"/>
          <w:kern w:val="2"/>
          <w:sz w:val="44"/>
          <w:szCs w:val="44"/>
          <w:highlight w:val="none"/>
          <w:lang w:val="en-US" w:eastAsia="zh-CN" w:bidi="ar-SA"/>
        </w:rPr>
        <w:t>部门</w:t>
      </w:r>
      <w:r>
        <w:rPr>
          <w:rFonts w:hint="eastAsia" w:ascii="Times New Roman" w:hAnsi="Times New Roman" w:eastAsia="方正小标宋简体" w:cs="Times New Roman"/>
          <w:color w:val="auto"/>
          <w:kern w:val="2"/>
          <w:sz w:val="44"/>
          <w:szCs w:val="44"/>
          <w:highlight w:val="none"/>
          <w:lang w:val="en-US" w:eastAsia="zh-CN" w:bidi="ar-SA"/>
        </w:rPr>
        <w:t>决算公开</w:t>
      </w:r>
      <w:r>
        <w:rPr>
          <w:rFonts w:hint="eastAsia" w:ascii="Times New Roman" w:eastAsia="方正小标宋简体" w:cs="Times New Roman"/>
          <w:color w:val="auto"/>
          <w:kern w:val="2"/>
          <w:sz w:val="44"/>
          <w:szCs w:val="44"/>
          <w:highlight w:val="none"/>
          <w:lang w:val="en-US" w:eastAsia="zh-CN" w:bidi="ar-SA"/>
        </w:rPr>
        <w:t>编制</w:t>
      </w:r>
      <w:r>
        <w:rPr>
          <w:rFonts w:hint="eastAsia" w:ascii="Times New Roman" w:hAnsi="Times New Roman" w:eastAsia="方正小标宋简体" w:cs="Times New Roman"/>
          <w:color w:val="auto"/>
          <w:kern w:val="2"/>
          <w:sz w:val="44"/>
          <w:szCs w:val="44"/>
          <w:highlight w:val="none"/>
          <w:lang w:val="en-US" w:eastAsia="zh-CN" w:bidi="ar-SA"/>
        </w:rPr>
        <w:t>说明</w:t>
      </w:r>
    </w:p>
    <w:p>
      <w:pPr>
        <w:widowControl/>
        <w:jc w:val="center"/>
        <w:rPr>
          <w:rFonts w:hint="eastAsia" w:ascii="黑体" w:hAnsi="黑体" w:eastAsia="黑体"/>
          <w:sz w:val="48"/>
          <w:szCs w:val="48"/>
        </w:rPr>
      </w:pPr>
      <w:r>
        <w:rPr>
          <w:rFonts w:ascii="方正小标宋简体" w:hAnsi="宋体" w:eastAsia="方正小标宋简体"/>
          <w:sz w:val="36"/>
          <w:szCs w:val="36"/>
        </w:rPr>
        <w:br w:type="page"/>
      </w:r>
    </w:p>
    <w:sdt>
      <w:sdtPr>
        <w:rPr>
          <w:rFonts w:hint="eastAsia" w:ascii="方正小标宋_GBK" w:hAnsi="方正小标宋_GBK" w:eastAsia="方正小标宋_GBK" w:cs="方正小标宋_GBK"/>
          <w:sz w:val="36"/>
          <w:szCs w:val="36"/>
        </w:rPr>
        <w:id w:val="147454865"/>
        <w:docPartObj>
          <w:docPartGallery w:val="Table of Contents"/>
          <w:docPartUnique/>
        </w:docPartObj>
      </w:sdtPr>
      <w:sdtEndPr>
        <w:rPr>
          <w:rFonts w:hint="eastAsia" w:ascii="仿宋" w:hAnsi="仿宋" w:eastAsia="仿宋" w:cs="方正小标宋_GBK"/>
          <w:bCs/>
          <w:kern w:val="44"/>
          <w:sz w:val="36"/>
          <w:szCs w:val="36"/>
        </w:rPr>
      </w:sdtEndPr>
      <w:sdtContent>
        <w:p>
          <w:pPr>
            <w:spacing w:before="0" w:beforeLines="0" w:after="0" w:afterLines="0" w:line="240" w:lineRule="auto"/>
            <w:ind w:left="0" w:leftChars="0" w:right="0" w:rightChars="0" w:firstLine="0" w:firstLineChars="0"/>
            <w:jc w:val="center"/>
            <w:rPr>
              <w:rFonts w:hint="eastAsia" w:ascii="方正小标宋_GBK" w:hAnsi="方正小标宋_GBK" w:eastAsia="方正小标宋_GBK" w:cs="方正小标宋_GBK"/>
              <w:sz w:val="36"/>
              <w:szCs w:val="36"/>
            </w:rPr>
          </w:pPr>
          <w:bookmarkStart w:id="6" w:name="_Toc15396599"/>
          <w:bookmarkStart w:id="7" w:name="_Toc15377196"/>
          <w:r>
            <w:rPr>
              <w:rFonts w:hint="eastAsia" w:ascii="方正小标宋_GBK" w:hAnsi="方正小标宋_GBK" w:eastAsia="方正小标宋_GBK" w:cs="方正小标宋_GBK"/>
              <w:sz w:val="36"/>
              <w:szCs w:val="36"/>
            </w:rPr>
            <w:t>目录</w:t>
          </w:r>
        </w:p>
        <w:p>
          <w:pPr>
            <w:pStyle w:val="14"/>
            <w:rPr>
              <w:rFonts w:hint="eastAsia"/>
            </w:rPr>
          </w:pPr>
          <w:r>
            <w:rPr>
              <w:rFonts w:hint="eastAsia"/>
            </w:rPr>
            <w:t>公开时间：202</w:t>
          </w:r>
          <w:r>
            <w:rPr>
              <w:rFonts w:hint="eastAsia"/>
              <w:lang w:val="en-US" w:eastAsia="zh-CN"/>
            </w:rPr>
            <w:t>5</w:t>
          </w:r>
          <w:r>
            <w:rPr>
              <w:rFonts w:hint="eastAsia"/>
            </w:rPr>
            <w:t>年9月</w:t>
          </w:r>
          <w:r>
            <w:rPr>
              <w:rFonts w:hint="eastAsia"/>
              <w:lang w:val="en-US" w:eastAsia="zh-CN"/>
            </w:rPr>
            <w:t>16</w:t>
          </w:r>
          <w:r>
            <w:rPr>
              <w:rFonts w:hint="eastAsia"/>
            </w:rPr>
            <w:t>日</w:t>
          </w:r>
        </w:p>
        <w:p>
          <w:pPr>
            <w:pStyle w:val="14"/>
            <w:tabs>
              <w:tab w:val="right" w:leader="dot" w:pos="8306"/>
              <w:tab w:val="clear" w:pos="8296"/>
            </w:tabs>
            <w:rPr>
              <w:bCs/>
              <w:kern w:val="44"/>
              <w:sz w:val="24"/>
            </w:rPr>
          </w:pPr>
        </w:p>
        <w:p>
          <w:pPr>
            <w:pStyle w:val="14"/>
            <w:tabs>
              <w:tab w:val="right" w:leader="dot" w:pos="8306"/>
              <w:tab w:val="clear" w:pos="8296"/>
            </w:tabs>
            <w:rPr>
              <w:sz w:val="24"/>
              <w:szCs w:val="24"/>
            </w:rPr>
          </w:pPr>
          <w:r>
            <w:rPr>
              <w:bCs/>
              <w:kern w:val="44"/>
              <w:sz w:val="24"/>
            </w:rPr>
            <w:fldChar w:fldCharType="begin"/>
          </w:r>
          <w:r>
            <w:rPr>
              <w:bCs/>
              <w:kern w:val="44"/>
              <w:sz w:val="24"/>
            </w:rPr>
            <w:instrText xml:space="preserve">TOC \o "1-3" \h \u </w:instrText>
          </w:r>
          <w:r>
            <w:rPr>
              <w:bCs/>
              <w:kern w:val="44"/>
              <w:sz w:val="24"/>
            </w:rPr>
            <w:fldChar w:fldCharType="separate"/>
          </w:r>
          <w:r>
            <w:rPr>
              <w:bCs/>
              <w:kern w:val="44"/>
              <w:sz w:val="24"/>
              <w:szCs w:val="24"/>
            </w:rPr>
            <w:fldChar w:fldCharType="begin"/>
          </w:r>
          <w:r>
            <w:rPr>
              <w:bCs/>
              <w:kern w:val="44"/>
              <w:sz w:val="24"/>
              <w:szCs w:val="24"/>
            </w:rPr>
            <w:instrText xml:space="preserve"> HYPERLINK \l _Toc31327 </w:instrText>
          </w:r>
          <w:r>
            <w:rPr>
              <w:bCs/>
              <w:kern w:val="44"/>
              <w:sz w:val="24"/>
              <w:szCs w:val="24"/>
            </w:rPr>
            <w:fldChar w:fldCharType="separate"/>
          </w:r>
          <w:r>
            <w:rPr>
              <w:rFonts w:hint="eastAsia" w:ascii="黑体" w:hAnsi="黑体" w:eastAsia="黑体"/>
              <w:sz w:val="24"/>
              <w:szCs w:val="24"/>
            </w:rPr>
            <w:t xml:space="preserve">第一部分 </w:t>
          </w:r>
          <w:r>
            <w:rPr>
              <w:rFonts w:hint="eastAsia" w:ascii="黑体" w:hAnsi="黑体" w:eastAsia="黑体"/>
              <w:sz w:val="24"/>
              <w:szCs w:val="24"/>
              <w:lang w:val="en-US" w:eastAsia="zh-CN"/>
            </w:rPr>
            <w:t>部门</w:t>
          </w:r>
          <w:r>
            <w:rPr>
              <w:rFonts w:hint="eastAsia" w:ascii="黑体" w:hAnsi="黑体" w:eastAsia="黑体"/>
              <w:bCs w:val="0"/>
              <w:sz w:val="24"/>
              <w:szCs w:val="24"/>
            </w:rPr>
            <w:t>概况</w:t>
          </w:r>
          <w:r>
            <w:rPr>
              <w:sz w:val="24"/>
              <w:szCs w:val="24"/>
            </w:rPr>
            <w:tab/>
          </w:r>
          <w:r>
            <w:rPr>
              <w:sz w:val="24"/>
              <w:szCs w:val="24"/>
            </w:rPr>
            <w:fldChar w:fldCharType="begin"/>
          </w:r>
          <w:r>
            <w:rPr>
              <w:sz w:val="24"/>
              <w:szCs w:val="24"/>
            </w:rPr>
            <w:instrText xml:space="preserve"> PAGEREF _Toc31327 </w:instrText>
          </w:r>
          <w:r>
            <w:rPr>
              <w:sz w:val="24"/>
              <w:szCs w:val="24"/>
            </w:rPr>
            <w:fldChar w:fldCharType="separate"/>
          </w:r>
          <w:r>
            <w:rPr>
              <w:sz w:val="24"/>
              <w:szCs w:val="24"/>
            </w:rPr>
            <w:t>4</w:t>
          </w:r>
          <w:r>
            <w:rPr>
              <w:sz w:val="24"/>
              <w:szCs w:val="24"/>
            </w:rPr>
            <w:fldChar w:fldCharType="end"/>
          </w:r>
          <w:r>
            <w:rPr>
              <w:bCs/>
              <w:kern w:val="44"/>
              <w:sz w:val="24"/>
              <w:szCs w:val="24"/>
            </w:rPr>
            <w:fldChar w:fldCharType="end"/>
          </w:r>
        </w:p>
        <w:p>
          <w:pPr>
            <w:pStyle w:val="15"/>
            <w:tabs>
              <w:tab w:val="right" w:leader="dot" w:pos="8306"/>
              <w:tab w:val="clear" w:pos="8296"/>
            </w:tabs>
            <w:rPr>
              <w:sz w:val="24"/>
              <w:szCs w:val="24"/>
            </w:rPr>
          </w:pPr>
          <w:r>
            <w:rPr>
              <w:rFonts w:ascii="仿宋" w:hAnsi="仿宋" w:eastAsia="仿宋"/>
              <w:bCs/>
              <w:kern w:val="44"/>
              <w:sz w:val="24"/>
              <w:szCs w:val="24"/>
            </w:rPr>
            <w:fldChar w:fldCharType="begin"/>
          </w:r>
          <w:r>
            <w:rPr>
              <w:rFonts w:ascii="仿宋" w:hAnsi="仿宋" w:eastAsia="仿宋"/>
              <w:bCs/>
              <w:kern w:val="44"/>
              <w:sz w:val="24"/>
              <w:szCs w:val="24"/>
            </w:rPr>
            <w:instrText xml:space="preserve"> HYPERLINK \l _Toc14729 </w:instrText>
          </w:r>
          <w:r>
            <w:rPr>
              <w:rFonts w:ascii="仿宋" w:hAnsi="仿宋" w:eastAsia="仿宋"/>
              <w:bCs/>
              <w:kern w:val="44"/>
              <w:sz w:val="24"/>
              <w:szCs w:val="24"/>
            </w:rPr>
            <w:fldChar w:fldCharType="separate"/>
          </w:r>
          <w:r>
            <w:rPr>
              <w:rFonts w:hint="eastAsia" w:ascii="黑体" w:hAnsi="黑体" w:eastAsia="黑体"/>
              <w:sz w:val="24"/>
              <w:szCs w:val="24"/>
            </w:rPr>
            <w:t>一、</w:t>
          </w:r>
          <w:r>
            <w:rPr>
              <w:rFonts w:hint="eastAsia" w:ascii="黑体" w:hAnsi="黑体" w:eastAsia="黑体"/>
              <w:sz w:val="24"/>
              <w:szCs w:val="24"/>
              <w:lang w:val="en-US" w:eastAsia="zh-CN"/>
            </w:rPr>
            <w:t>部门</w:t>
          </w:r>
          <w:r>
            <w:rPr>
              <w:rFonts w:hint="eastAsia" w:ascii="黑体" w:hAnsi="黑体" w:eastAsia="黑体"/>
              <w:sz w:val="24"/>
              <w:szCs w:val="24"/>
            </w:rPr>
            <w:t>职责</w:t>
          </w:r>
          <w:r>
            <w:rPr>
              <w:sz w:val="24"/>
              <w:szCs w:val="24"/>
            </w:rPr>
            <w:tab/>
          </w:r>
          <w:r>
            <w:rPr>
              <w:sz w:val="24"/>
              <w:szCs w:val="24"/>
            </w:rPr>
            <w:fldChar w:fldCharType="begin"/>
          </w:r>
          <w:r>
            <w:rPr>
              <w:sz w:val="24"/>
              <w:szCs w:val="24"/>
            </w:rPr>
            <w:instrText xml:space="preserve"> PAGEREF _Toc14729 </w:instrText>
          </w:r>
          <w:r>
            <w:rPr>
              <w:sz w:val="24"/>
              <w:szCs w:val="24"/>
            </w:rPr>
            <w:fldChar w:fldCharType="separate"/>
          </w:r>
          <w:r>
            <w:rPr>
              <w:sz w:val="24"/>
              <w:szCs w:val="24"/>
            </w:rPr>
            <w:t>4</w:t>
          </w:r>
          <w:r>
            <w:rPr>
              <w:sz w:val="24"/>
              <w:szCs w:val="24"/>
            </w:rPr>
            <w:fldChar w:fldCharType="end"/>
          </w:r>
          <w:r>
            <w:rPr>
              <w:rFonts w:ascii="仿宋" w:hAnsi="仿宋" w:eastAsia="仿宋"/>
              <w:bCs/>
              <w:kern w:val="44"/>
              <w:sz w:val="24"/>
              <w:szCs w:val="24"/>
            </w:rPr>
            <w:fldChar w:fldCharType="end"/>
          </w:r>
        </w:p>
        <w:p>
          <w:pPr>
            <w:pStyle w:val="15"/>
            <w:tabs>
              <w:tab w:val="right" w:leader="dot" w:pos="8306"/>
              <w:tab w:val="clear" w:pos="8296"/>
            </w:tabs>
            <w:rPr>
              <w:sz w:val="24"/>
              <w:szCs w:val="24"/>
            </w:rPr>
          </w:pPr>
          <w:r>
            <w:rPr>
              <w:rFonts w:ascii="仿宋" w:hAnsi="仿宋" w:eastAsia="仿宋"/>
              <w:bCs/>
              <w:kern w:val="44"/>
              <w:sz w:val="24"/>
              <w:szCs w:val="24"/>
            </w:rPr>
            <w:fldChar w:fldCharType="begin"/>
          </w:r>
          <w:r>
            <w:rPr>
              <w:rFonts w:ascii="仿宋" w:hAnsi="仿宋" w:eastAsia="仿宋"/>
              <w:bCs/>
              <w:kern w:val="44"/>
              <w:sz w:val="24"/>
              <w:szCs w:val="24"/>
            </w:rPr>
            <w:instrText xml:space="preserve"> HYPERLINK \l _Toc22186 </w:instrText>
          </w:r>
          <w:r>
            <w:rPr>
              <w:rFonts w:ascii="仿宋" w:hAnsi="仿宋" w:eastAsia="仿宋"/>
              <w:bCs/>
              <w:kern w:val="44"/>
              <w:sz w:val="24"/>
              <w:szCs w:val="24"/>
            </w:rPr>
            <w:fldChar w:fldCharType="separate"/>
          </w:r>
          <w:r>
            <w:rPr>
              <w:rFonts w:hint="eastAsia" w:ascii="黑体" w:hAnsi="黑体" w:eastAsia="黑体"/>
              <w:sz w:val="24"/>
              <w:szCs w:val="24"/>
            </w:rPr>
            <w:t>二、机构设置</w:t>
          </w:r>
          <w:r>
            <w:rPr>
              <w:sz w:val="24"/>
              <w:szCs w:val="24"/>
            </w:rPr>
            <w:tab/>
          </w:r>
          <w:r>
            <w:rPr>
              <w:sz w:val="24"/>
              <w:szCs w:val="24"/>
            </w:rPr>
            <w:fldChar w:fldCharType="begin"/>
          </w:r>
          <w:r>
            <w:rPr>
              <w:sz w:val="24"/>
              <w:szCs w:val="24"/>
            </w:rPr>
            <w:instrText xml:space="preserve"> PAGEREF _Toc22186 </w:instrText>
          </w:r>
          <w:r>
            <w:rPr>
              <w:sz w:val="24"/>
              <w:szCs w:val="24"/>
            </w:rPr>
            <w:fldChar w:fldCharType="separate"/>
          </w:r>
          <w:r>
            <w:rPr>
              <w:sz w:val="24"/>
              <w:szCs w:val="24"/>
            </w:rPr>
            <w:t>4</w:t>
          </w:r>
          <w:r>
            <w:rPr>
              <w:sz w:val="24"/>
              <w:szCs w:val="24"/>
            </w:rPr>
            <w:fldChar w:fldCharType="end"/>
          </w:r>
          <w:r>
            <w:rPr>
              <w:rFonts w:ascii="仿宋" w:hAnsi="仿宋" w:eastAsia="仿宋"/>
              <w:bCs/>
              <w:kern w:val="44"/>
              <w:sz w:val="24"/>
              <w:szCs w:val="24"/>
            </w:rPr>
            <w:fldChar w:fldCharType="end"/>
          </w:r>
        </w:p>
        <w:p>
          <w:pPr>
            <w:pStyle w:val="14"/>
            <w:tabs>
              <w:tab w:val="right" w:leader="dot" w:pos="8306"/>
              <w:tab w:val="clear" w:pos="8296"/>
            </w:tabs>
            <w:rPr>
              <w:sz w:val="24"/>
              <w:szCs w:val="24"/>
            </w:rPr>
          </w:pPr>
          <w:r>
            <w:rPr>
              <w:rFonts w:ascii="仿宋" w:hAnsi="仿宋" w:eastAsia="仿宋"/>
              <w:bCs/>
              <w:kern w:val="44"/>
              <w:sz w:val="24"/>
              <w:szCs w:val="24"/>
            </w:rPr>
            <w:fldChar w:fldCharType="begin"/>
          </w:r>
          <w:r>
            <w:rPr>
              <w:rFonts w:ascii="仿宋" w:hAnsi="仿宋" w:eastAsia="仿宋"/>
              <w:bCs/>
              <w:kern w:val="44"/>
              <w:sz w:val="24"/>
              <w:szCs w:val="24"/>
            </w:rPr>
            <w:instrText xml:space="preserve"> HYPERLINK \l _Toc8413 </w:instrText>
          </w:r>
          <w:r>
            <w:rPr>
              <w:rFonts w:ascii="仿宋" w:hAnsi="仿宋" w:eastAsia="仿宋"/>
              <w:bCs/>
              <w:kern w:val="44"/>
              <w:sz w:val="24"/>
              <w:szCs w:val="24"/>
            </w:rPr>
            <w:fldChar w:fldCharType="separate"/>
          </w:r>
          <w:r>
            <w:rPr>
              <w:rFonts w:hint="eastAsia" w:ascii="黑体" w:hAnsi="黑体" w:eastAsia="黑体"/>
              <w:sz w:val="24"/>
              <w:szCs w:val="24"/>
            </w:rPr>
            <w:t>第二部分 202</w:t>
          </w:r>
          <w:r>
            <w:rPr>
              <w:rFonts w:hint="eastAsia" w:ascii="黑体" w:hAnsi="黑体" w:eastAsia="黑体"/>
              <w:sz w:val="24"/>
              <w:szCs w:val="24"/>
              <w:lang w:val="en-US" w:eastAsia="zh-CN"/>
            </w:rPr>
            <w:t>4</w:t>
          </w:r>
          <w:r>
            <w:rPr>
              <w:rFonts w:hint="eastAsia" w:ascii="黑体" w:hAnsi="黑体" w:eastAsia="黑体"/>
              <w:sz w:val="24"/>
              <w:szCs w:val="24"/>
            </w:rPr>
            <w:t>年度</w:t>
          </w:r>
          <w:r>
            <w:rPr>
              <w:rFonts w:hint="eastAsia" w:ascii="黑体" w:hAnsi="黑体" w:eastAsia="黑体"/>
              <w:sz w:val="24"/>
              <w:szCs w:val="24"/>
              <w:lang w:val="en-US" w:eastAsia="zh-CN"/>
            </w:rPr>
            <w:t>部门</w:t>
          </w:r>
          <w:r>
            <w:rPr>
              <w:rFonts w:hint="eastAsia" w:ascii="黑体" w:hAnsi="黑体" w:eastAsia="黑体"/>
              <w:bCs/>
              <w:sz w:val="24"/>
              <w:szCs w:val="24"/>
            </w:rPr>
            <w:t>决算情况说明</w:t>
          </w:r>
          <w:r>
            <w:rPr>
              <w:sz w:val="24"/>
              <w:szCs w:val="24"/>
            </w:rPr>
            <w:tab/>
          </w:r>
          <w:r>
            <w:rPr>
              <w:sz w:val="24"/>
              <w:szCs w:val="24"/>
            </w:rPr>
            <w:fldChar w:fldCharType="begin"/>
          </w:r>
          <w:r>
            <w:rPr>
              <w:sz w:val="24"/>
              <w:szCs w:val="24"/>
            </w:rPr>
            <w:instrText xml:space="preserve"> PAGEREF _Toc8413 </w:instrText>
          </w:r>
          <w:r>
            <w:rPr>
              <w:sz w:val="24"/>
              <w:szCs w:val="24"/>
            </w:rPr>
            <w:fldChar w:fldCharType="separate"/>
          </w:r>
          <w:r>
            <w:rPr>
              <w:sz w:val="24"/>
              <w:szCs w:val="24"/>
            </w:rPr>
            <w:t>6</w:t>
          </w:r>
          <w:r>
            <w:rPr>
              <w:sz w:val="24"/>
              <w:szCs w:val="24"/>
            </w:rPr>
            <w:fldChar w:fldCharType="end"/>
          </w:r>
          <w:r>
            <w:rPr>
              <w:rFonts w:ascii="仿宋" w:hAnsi="仿宋" w:eastAsia="仿宋"/>
              <w:bCs/>
              <w:kern w:val="44"/>
              <w:sz w:val="24"/>
              <w:szCs w:val="24"/>
            </w:rPr>
            <w:fldChar w:fldCharType="end"/>
          </w:r>
        </w:p>
        <w:p>
          <w:pPr>
            <w:pStyle w:val="15"/>
            <w:tabs>
              <w:tab w:val="right" w:leader="dot" w:pos="8306"/>
              <w:tab w:val="clear" w:pos="8296"/>
            </w:tabs>
            <w:rPr>
              <w:sz w:val="24"/>
              <w:szCs w:val="24"/>
            </w:rPr>
          </w:pPr>
          <w:r>
            <w:rPr>
              <w:rFonts w:ascii="仿宋" w:hAnsi="仿宋" w:eastAsia="仿宋"/>
              <w:bCs/>
              <w:kern w:val="44"/>
              <w:sz w:val="24"/>
              <w:szCs w:val="24"/>
            </w:rPr>
            <w:fldChar w:fldCharType="begin"/>
          </w:r>
          <w:r>
            <w:rPr>
              <w:rFonts w:ascii="仿宋" w:hAnsi="仿宋" w:eastAsia="仿宋"/>
              <w:bCs/>
              <w:kern w:val="44"/>
              <w:sz w:val="24"/>
              <w:szCs w:val="24"/>
            </w:rPr>
            <w:instrText xml:space="preserve"> HYPERLINK \l _Toc2350 </w:instrText>
          </w:r>
          <w:r>
            <w:rPr>
              <w:rFonts w:ascii="仿宋" w:hAnsi="仿宋" w:eastAsia="仿宋"/>
              <w:bCs/>
              <w:kern w:val="44"/>
              <w:sz w:val="24"/>
              <w:szCs w:val="24"/>
            </w:rPr>
            <w:fldChar w:fldCharType="separate"/>
          </w:r>
          <w:r>
            <w:rPr>
              <w:rFonts w:hint="eastAsia" w:ascii="黑体" w:hAnsi="黑体" w:eastAsia="黑体"/>
              <w:sz w:val="24"/>
              <w:szCs w:val="24"/>
            </w:rPr>
            <w:t>一、收入支出决算总体情况说明</w:t>
          </w:r>
          <w:r>
            <w:rPr>
              <w:sz w:val="24"/>
              <w:szCs w:val="24"/>
            </w:rPr>
            <w:tab/>
          </w:r>
          <w:r>
            <w:rPr>
              <w:sz w:val="24"/>
              <w:szCs w:val="24"/>
            </w:rPr>
            <w:fldChar w:fldCharType="begin"/>
          </w:r>
          <w:r>
            <w:rPr>
              <w:sz w:val="24"/>
              <w:szCs w:val="24"/>
            </w:rPr>
            <w:instrText xml:space="preserve"> PAGEREF _Toc2350 </w:instrText>
          </w:r>
          <w:r>
            <w:rPr>
              <w:sz w:val="24"/>
              <w:szCs w:val="24"/>
            </w:rPr>
            <w:fldChar w:fldCharType="separate"/>
          </w:r>
          <w:r>
            <w:rPr>
              <w:sz w:val="24"/>
              <w:szCs w:val="24"/>
            </w:rPr>
            <w:t>6</w:t>
          </w:r>
          <w:r>
            <w:rPr>
              <w:sz w:val="24"/>
              <w:szCs w:val="24"/>
            </w:rPr>
            <w:fldChar w:fldCharType="end"/>
          </w:r>
          <w:r>
            <w:rPr>
              <w:rFonts w:ascii="仿宋" w:hAnsi="仿宋" w:eastAsia="仿宋"/>
              <w:bCs/>
              <w:kern w:val="44"/>
              <w:sz w:val="24"/>
              <w:szCs w:val="24"/>
            </w:rPr>
            <w:fldChar w:fldCharType="end"/>
          </w:r>
        </w:p>
        <w:p>
          <w:pPr>
            <w:pStyle w:val="15"/>
            <w:tabs>
              <w:tab w:val="right" w:leader="dot" w:pos="8306"/>
              <w:tab w:val="clear" w:pos="8296"/>
            </w:tabs>
            <w:rPr>
              <w:sz w:val="24"/>
              <w:szCs w:val="24"/>
            </w:rPr>
          </w:pPr>
          <w:r>
            <w:rPr>
              <w:rFonts w:ascii="仿宋" w:hAnsi="仿宋" w:eastAsia="仿宋"/>
              <w:bCs/>
              <w:kern w:val="44"/>
              <w:sz w:val="24"/>
              <w:szCs w:val="24"/>
            </w:rPr>
            <w:fldChar w:fldCharType="begin"/>
          </w:r>
          <w:r>
            <w:rPr>
              <w:rFonts w:ascii="仿宋" w:hAnsi="仿宋" w:eastAsia="仿宋"/>
              <w:bCs/>
              <w:kern w:val="44"/>
              <w:sz w:val="24"/>
              <w:szCs w:val="24"/>
            </w:rPr>
            <w:instrText xml:space="preserve"> HYPERLINK \l _Toc14445 </w:instrText>
          </w:r>
          <w:r>
            <w:rPr>
              <w:rFonts w:ascii="仿宋" w:hAnsi="仿宋" w:eastAsia="仿宋"/>
              <w:bCs/>
              <w:kern w:val="44"/>
              <w:sz w:val="24"/>
              <w:szCs w:val="24"/>
            </w:rPr>
            <w:fldChar w:fldCharType="separate"/>
          </w:r>
          <w:r>
            <w:rPr>
              <w:rFonts w:hint="eastAsia" w:ascii="黑体" w:hAnsi="黑体" w:eastAsia="黑体"/>
              <w:sz w:val="24"/>
              <w:szCs w:val="24"/>
            </w:rPr>
            <w:t>二、收</w:t>
          </w:r>
          <w:r>
            <w:rPr>
              <w:rFonts w:hint="eastAsia" w:ascii="黑体" w:hAnsi="黑体" w:eastAsia="黑体"/>
              <w:bCs w:val="0"/>
              <w:sz w:val="24"/>
              <w:szCs w:val="24"/>
            </w:rPr>
            <w:t>入决算情况说明</w:t>
          </w:r>
          <w:r>
            <w:rPr>
              <w:sz w:val="24"/>
              <w:szCs w:val="24"/>
            </w:rPr>
            <w:tab/>
          </w:r>
          <w:r>
            <w:rPr>
              <w:sz w:val="24"/>
              <w:szCs w:val="24"/>
            </w:rPr>
            <w:fldChar w:fldCharType="begin"/>
          </w:r>
          <w:r>
            <w:rPr>
              <w:sz w:val="24"/>
              <w:szCs w:val="24"/>
            </w:rPr>
            <w:instrText xml:space="preserve"> PAGEREF _Toc14445 </w:instrText>
          </w:r>
          <w:r>
            <w:rPr>
              <w:sz w:val="24"/>
              <w:szCs w:val="24"/>
            </w:rPr>
            <w:fldChar w:fldCharType="separate"/>
          </w:r>
          <w:r>
            <w:rPr>
              <w:sz w:val="24"/>
              <w:szCs w:val="24"/>
            </w:rPr>
            <w:t>6</w:t>
          </w:r>
          <w:r>
            <w:rPr>
              <w:sz w:val="24"/>
              <w:szCs w:val="24"/>
            </w:rPr>
            <w:fldChar w:fldCharType="end"/>
          </w:r>
          <w:r>
            <w:rPr>
              <w:rFonts w:ascii="仿宋" w:hAnsi="仿宋" w:eastAsia="仿宋"/>
              <w:bCs/>
              <w:kern w:val="44"/>
              <w:sz w:val="24"/>
              <w:szCs w:val="24"/>
            </w:rPr>
            <w:fldChar w:fldCharType="end"/>
          </w:r>
        </w:p>
        <w:p>
          <w:pPr>
            <w:pStyle w:val="15"/>
            <w:tabs>
              <w:tab w:val="right" w:leader="dot" w:pos="8306"/>
              <w:tab w:val="clear" w:pos="8296"/>
            </w:tabs>
            <w:rPr>
              <w:sz w:val="24"/>
              <w:szCs w:val="24"/>
            </w:rPr>
          </w:pPr>
          <w:r>
            <w:rPr>
              <w:rFonts w:ascii="仿宋" w:hAnsi="仿宋" w:eastAsia="仿宋"/>
              <w:bCs/>
              <w:kern w:val="44"/>
              <w:sz w:val="24"/>
              <w:szCs w:val="24"/>
            </w:rPr>
            <w:fldChar w:fldCharType="begin"/>
          </w:r>
          <w:r>
            <w:rPr>
              <w:rFonts w:ascii="仿宋" w:hAnsi="仿宋" w:eastAsia="仿宋"/>
              <w:bCs/>
              <w:kern w:val="44"/>
              <w:sz w:val="24"/>
              <w:szCs w:val="24"/>
            </w:rPr>
            <w:instrText xml:space="preserve"> HYPERLINK \l _Toc25922 </w:instrText>
          </w:r>
          <w:r>
            <w:rPr>
              <w:rFonts w:ascii="仿宋" w:hAnsi="仿宋" w:eastAsia="仿宋"/>
              <w:bCs/>
              <w:kern w:val="44"/>
              <w:sz w:val="24"/>
              <w:szCs w:val="24"/>
            </w:rPr>
            <w:fldChar w:fldCharType="separate"/>
          </w:r>
          <w:r>
            <w:rPr>
              <w:rFonts w:hint="eastAsia" w:ascii="黑体" w:hAnsi="黑体" w:eastAsia="黑体"/>
              <w:sz w:val="24"/>
              <w:szCs w:val="24"/>
            </w:rPr>
            <w:t>三、支</w:t>
          </w:r>
          <w:r>
            <w:rPr>
              <w:rFonts w:hint="eastAsia" w:ascii="黑体" w:hAnsi="黑体" w:eastAsia="黑体"/>
              <w:bCs w:val="0"/>
              <w:sz w:val="24"/>
              <w:szCs w:val="24"/>
            </w:rPr>
            <w:t>出决算情况说明</w:t>
          </w:r>
          <w:r>
            <w:rPr>
              <w:sz w:val="24"/>
              <w:szCs w:val="24"/>
            </w:rPr>
            <w:tab/>
          </w:r>
          <w:r>
            <w:rPr>
              <w:sz w:val="24"/>
              <w:szCs w:val="24"/>
            </w:rPr>
            <w:fldChar w:fldCharType="begin"/>
          </w:r>
          <w:r>
            <w:rPr>
              <w:sz w:val="24"/>
              <w:szCs w:val="24"/>
            </w:rPr>
            <w:instrText xml:space="preserve"> PAGEREF _Toc25922 </w:instrText>
          </w:r>
          <w:r>
            <w:rPr>
              <w:sz w:val="24"/>
              <w:szCs w:val="24"/>
            </w:rPr>
            <w:fldChar w:fldCharType="separate"/>
          </w:r>
          <w:r>
            <w:rPr>
              <w:sz w:val="24"/>
              <w:szCs w:val="24"/>
            </w:rPr>
            <w:t>7</w:t>
          </w:r>
          <w:r>
            <w:rPr>
              <w:sz w:val="24"/>
              <w:szCs w:val="24"/>
            </w:rPr>
            <w:fldChar w:fldCharType="end"/>
          </w:r>
          <w:r>
            <w:rPr>
              <w:rFonts w:ascii="仿宋" w:hAnsi="仿宋" w:eastAsia="仿宋"/>
              <w:bCs/>
              <w:kern w:val="44"/>
              <w:sz w:val="24"/>
              <w:szCs w:val="24"/>
            </w:rPr>
            <w:fldChar w:fldCharType="end"/>
          </w:r>
        </w:p>
        <w:p>
          <w:pPr>
            <w:pStyle w:val="15"/>
            <w:tabs>
              <w:tab w:val="right" w:leader="dot" w:pos="8306"/>
              <w:tab w:val="clear" w:pos="8296"/>
            </w:tabs>
            <w:rPr>
              <w:sz w:val="24"/>
              <w:szCs w:val="24"/>
            </w:rPr>
          </w:pPr>
          <w:r>
            <w:rPr>
              <w:rFonts w:ascii="仿宋" w:hAnsi="仿宋" w:eastAsia="仿宋"/>
              <w:bCs/>
              <w:kern w:val="44"/>
              <w:sz w:val="24"/>
              <w:szCs w:val="24"/>
            </w:rPr>
            <w:fldChar w:fldCharType="begin"/>
          </w:r>
          <w:r>
            <w:rPr>
              <w:rFonts w:ascii="仿宋" w:hAnsi="仿宋" w:eastAsia="仿宋"/>
              <w:bCs/>
              <w:kern w:val="44"/>
              <w:sz w:val="24"/>
              <w:szCs w:val="24"/>
            </w:rPr>
            <w:instrText xml:space="preserve"> HYPERLINK \l _Toc25172 </w:instrText>
          </w:r>
          <w:r>
            <w:rPr>
              <w:rFonts w:ascii="仿宋" w:hAnsi="仿宋" w:eastAsia="仿宋"/>
              <w:bCs/>
              <w:kern w:val="44"/>
              <w:sz w:val="24"/>
              <w:szCs w:val="24"/>
            </w:rPr>
            <w:fldChar w:fldCharType="separate"/>
          </w:r>
          <w:r>
            <w:rPr>
              <w:rFonts w:hint="eastAsia" w:ascii="黑体" w:hAnsi="黑体" w:eastAsia="黑体"/>
              <w:sz w:val="24"/>
              <w:szCs w:val="24"/>
            </w:rPr>
            <w:t>四、财</w:t>
          </w:r>
          <w:r>
            <w:rPr>
              <w:rFonts w:hint="eastAsia" w:ascii="黑体" w:hAnsi="黑体" w:eastAsia="黑体"/>
              <w:bCs w:val="0"/>
              <w:sz w:val="24"/>
              <w:szCs w:val="24"/>
            </w:rPr>
            <w:t>政拨款收入支出决算总体情况说明</w:t>
          </w:r>
          <w:r>
            <w:rPr>
              <w:sz w:val="24"/>
              <w:szCs w:val="24"/>
            </w:rPr>
            <w:tab/>
          </w:r>
          <w:r>
            <w:rPr>
              <w:sz w:val="24"/>
              <w:szCs w:val="24"/>
            </w:rPr>
            <w:fldChar w:fldCharType="begin"/>
          </w:r>
          <w:r>
            <w:rPr>
              <w:sz w:val="24"/>
              <w:szCs w:val="24"/>
            </w:rPr>
            <w:instrText xml:space="preserve"> PAGEREF _Toc25172 </w:instrText>
          </w:r>
          <w:r>
            <w:rPr>
              <w:sz w:val="24"/>
              <w:szCs w:val="24"/>
            </w:rPr>
            <w:fldChar w:fldCharType="separate"/>
          </w:r>
          <w:r>
            <w:rPr>
              <w:sz w:val="24"/>
              <w:szCs w:val="24"/>
            </w:rPr>
            <w:t>7</w:t>
          </w:r>
          <w:r>
            <w:rPr>
              <w:sz w:val="24"/>
              <w:szCs w:val="24"/>
            </w:rPr>
            <w:fldChar w:fldCharType="end"/>
          </w:r>
          <w:r>
            <w:rPr>
              <w:rFonts w:ascii="仿宋" w:hAnsi="仿宋" w:eastAsia="仿宋"/>
              <w:bCs/>
              <w:kern w:val="44"/>
              <w:sz w:val="24"/>
              <w:szCs w:val="24"/>
            </w:rPr>
            <w:fldChar w:fldCharType="end"/>
          </w:r>
        </w:p>
        <w:p>
          <w:pPr>
            <w:pStyle w:val="15"/>
            <w:tabs>
              <w:tab w:val="right" w:leader="dot" w:pos="8306"/>
              <w:tab w:val="clear" w:pos="8296"/>
            </w:tabs>
            <w:rPr>
              <w:sz w:val="24"/>
              <w:szCs w:val="24"/>
            </w:rPr>
          </w:pPr>
          <w:r>
            <w:rPr>
              <w:rFonts w:ascii="仿宋" w:hAnsi="仿宋" w:eastAsia="仿宋"/>
              <w:bCs/>
              <w:kern w:val="44"/>
              <w:sz w:val="24"/>
              <w:szCs w:val="24"/>
            </w:rPr>
            <w:fldChar w:fldCharType="begin"/>
          </w:r>
          <w:r>
            <w:rPr>
              <w:rFonts w:ascii="仿宋" w:hAnsi="仿宋" w:eastAsia="仿宋"/>
              <w:bCs/>
              <w:kern w:val="44"/>
              <w:sz w:val="24"/>
              <w:szCs w:val="24"/>
            </w:rPr>
            <w:instrText xml:space="preserve"> HYPERLINK \l _Toc571 </w:instrText>
          </w:r>
          <w:r>
            <w:rPr>
              <w:rFonts w:ascii="仿宋" w:hAnsi="仿宋" w:eastAsia="仿宋"/>
              <w:bCs/>
              <w:kern w:val="44"/>
              <w:sz w:val="24"/>
              <w:szCs w:val="24"/>
            </w:rPr>
            <w:fldChar w:fldCharType="separate"/>
          </w:r>
          <w:r>
            <w:rPr>
              <w:rFonts w:hint="eastAsia" w:ascii="黑体" w:hAnsi="黑体" w:eastAsia="黑体"/>
              <w:sz w:val="24"/>
              <w:szCs w:val="24"/>
            </w:rPr>
            <w:t>五、一</w:t>
          </w:r>
          <w:r>
            <w:rPr>
              <w:rFonts w:hint="eastAsia" w:ascii="黑体" w:hAnsi="黑体" w:eastAsia="黑体"/>
              <w:bCs w:val="0"/>
              <w:sz w:val="24"/>
              <w:szCs w:val="24"/>
            </w:rPr>
            <w:t>般公共预算财政拨款支出决算情况说明</w:t>
          </w:r>
          <w:r>
            <w:rPr>
              <w:sz w:val="24"/>
              <w:szCs w:val="24"/>
            </w:rPr>
            <w:tab/>
          </w:r>
          <w:r>
            <w:rPr>
              <w:sz w:val="24"/>
              <w:szCs w:val="24"/>
            </w:rPr>
            <w:fldChar w:fldCharType="begin"/>
          </w:r>
          <w:r>
            <w:rPr>
              <w:sz w:val="24"/>
              <w:szCs w:val="24"/>
            </w:rPr>
            <w:instrText xml:space="preserve"> PAGEREF _Toc571 </w:instrText>
          </w:r>
          <w:r>
            <w:rPr>
              <w:sz w:val="24"/>
              <w:szCs w:val="24"/>
            </w:rPr>
            <w:fldChar w:fldCharType="separate"/>
          </w:r>
          <w:r>
            <w:rPr>
              <w:sz w:val="24"/>
              <w:szCs w:val="24"/>
            </w:rPr>
            <w:t>8</w:t>
          </w:r>
          <w:r>
            <w:rPr>
              <w:sz w:val="24"/>
              <w:szCs w:val="24"/>
            </w:rPr>
            <w:fldChar w:fldCharType="end"/>
          </w:r>
          <w:r>
            <w:rPr>
              <w:rFonts w:ascii="仿宋" w:hAnsi="仿宋" w:eastAsia="仿宋"/>
              <w:bCs/>
              <w:kern w:val="44"/>
              <w:sz w:val="24"/>
              <w:szCs w:val="24"/>
            </w:rPr>
            <w:fldChar w:fldCharType="end"/>
          </w:r>
        </w:p>
        <w:p>
          <w:pPr>
            <w:pStyle w:val="10"/>
            <w:tabs>
              <w:tab w:val="right" w:leader="dot" w:pos="8306"/>
              <w:tab w:val="clear" w:pos="8296"/>
            </w:tabs>
            <w:rPr>
              <w:sz w:val="24"/>
              <w:szCs w:val="24"/>
            </w:rPr>
          </w:pPr>
          <w:r>
            <w:rPr>
              <w:rFonts w:ascii="仿宋" w:hAnsi="仿宋" w:eastAsia="仿宋"/>
              <w:bCs/>
              <w:kern w:val="44"/>
              <w:sz w:val="24"/>
              <w:szCs w:val="24"/>
            </w:rPr>
            <w:fldChar w:fldCharType="begin"/>
          </w:r>
          <w:r>
            <w:rPr>
              <w:rFonts w:ascii="仿宋" w:hAnsi="仿宋" w:eastAsia="仿宋"/>
              <w:bCs/>
              <w:kern w:val="44"/>
              <w:sz w:val="24"/>
              <w:szCs w:val="24"/>
            </w:rPr>
            <w:instrText xml:space="preserve"> HYPERLINK \l _Toc17760 </w:instrText>
          </w:r>
          <w:r>
            <w:rPr>
              <w:rFonts w:ascii="仿宋" w:hAnsi="仿宋" w:eastAsia="仿宋"/>
              <w:bCs/>
              <w:kern w:val="44"/>
              <w:sz w:val="24"/>
              <w:szCs w:val="24"/>
            </w:rPr>
            <w:fldChar w:fldCharType="separate"/>
          </w:r>
          <w:r>
            <w:rPr>
              <w:rFonts w:hint="eastAsia" w:ascii="楷体_GB2312" w:eastAsia="楷体_GB2312"/>
              <w:sz w:val="24"/>
              <w:szCs w:val="24"/>
            </w:rPr>
            <w:t>（一）一般公共预算财政拨款支出决算总体情况</w:t>
          </w:r>
          <w:r>
            <w:rPr>
              <w:sz w:val="24"/>
              <w:szCs w:val="24"/>
            </w:rPr>
            <w:tab/>
          </w:r>
          <w:r>
            <w:rPr>
              <w:sz w:val="24"/>
              <w:szCs w:val="24"/>
            </w:rPr>
            <w:fldChar w:fldCharType="begin"/>
          </w:r>
          <w:r>
            <w:rPr>
              <w:sz w:val="24"/>
              <w:szCs w:val="24"/>
            </w:rPr>
            <w:instrText xml:space="preserve"> PAGEREF _Toc17760 </w:instrText>
          </w:r>
          <w:r>
            <w:rPr>
              <w:sz w:val="24"/>
              <w:szCs w:val="24"/>
            </w:rPr>
            <w:fldChar w:fldCharType="separate"/>
          </w:r>
          <w:r>
            <w:rPr>
              <w:sz w:val="24"/>
              <w:szCs w:val="24"/>
            </w:rPr>
            <w:t>8</w:t>
          </w:r>
          <w:r>
            <w:rPr>
              <w:sz w:val="24"/>
              <w:szCs w:val="24"/>
            </w:rPr>
            <w:fldChar w:fldCharType="end"/>
          </w:r>
          <w:r>
            <w:rPr>
              <w:rFonts w:ascii="仿宋" w:hAnsi="仿宋" w:eastAsia="仿宋"/>
              <w:bCs/>
              <w:kern w:val="44"/>
              <w:sz w:val="24"/>
              <w:szCs w:val="24"/>
            </w:rPr>
            <w:fldChar w:fldCharType="end"/>
          </w:r>
        </w:p>
        <w:p>
          <w:pPr>
            <w:pStyle w:val="10"/>
            <w:tabs>
              <w:tab w:val="right" w:leader="dot" w:pos="8306"/>
              <w:tab w:val="clear" w:pos="8296"/>
            </w:tabs>
            <w:rPr>
              <w:sz w:val="24"/>
              <w:szCs w:val="24"/>
            </w:rPr>
          </w:pPr>
          <w:r>
            <w:rPr>
              <w:rFonts w:ascii="仿宋" w:hAnsi="仿宋" w:eastAsia="仿宋"/>
              <w:bCs/>
              <w:kern w:val="44"/>
              <w:sz w:val="24"/>
              <w:szCs w:val="24"/>
            </w:rPr>
            <w:fldChar w:fldCharType="begin"/>
          </w:r>
          <w:r>
            <w:rPr>
              <w:rFonts w:ascii="仿宋" w:hAnsi="仿宋" w:eastAsia="仿宋"/>
              <w:bCs/>
              <w:kern w:val="44"/>
              <w:sz w:val="24"/>
              <w:szCs w:val="24"/>
            </w:rPr>
            <w:instrText xml:space="preserve"> HYPERLINK \l _Toc6864 </w:instrText>
          </w:r>
          <w:r>
            <w:rPr>
              <w:rFonts w:ascii="仿宋" w:hAnsi="仿宋" w:eastAsia="仿宋"/>
              <w:bCs/>
              <w:kern w:val="44"/>
              <w:sz w:val="24"/>
              <w:szCs w:val="24"/>
            </w:rPr>
            <w:fldChar w:fldCharType="separate"/>
          </w:r>
          <w:r>
            <w:rPr>
              <w:rFonts w:hint="eastAsia" w:ascii="楷体_GB2312" w:eastAsia="楷体_GB2312"/>
              <w:sz w:val="24"/>
              <w:szCs w:val="24"/>
            </w:rPr>
            <w:t>（二）一般公共预算财政拨款支出决算结构情况</w:t>
          </w:r>
          <w:r>
            <w:rPr>
              <w:sz w:val="24"/>
              <w:szCs w:val="24"/>
            </w:rPr>
            <w:tab/>
          </w:r>
          <w:r>
            <w:rPr>
              <w:sz w:val="24"/>
              <w:szCs w:val="24"/>
            </w:rPr>
            <w:fldChar w:fldCharType="begin"/>
          </w:r>
          <w:r>
            <w:rPr>
              <w:sz w:val="24"/>
              <w:szCs w:val="24"/>
            </w:rPr>
            <w:instrText xml:space="preserve"> PAGEREF _Toc6864 </w:instrText>
          </w:r>
          <w:r>
            <w:rPr>
              <w:sz w:val="24"/>
              <w:szCs w:val="24"/>
            </w:rPr>
            <w:fldChar w:fldCharType="separate"/>
          </w:r>
          <w:r>
            <w:rPr>
              <w:sz w:val="24"/>
              <w:szCs w:val="24"/>
            </w:rPr>
            <w:t>8</w:t>
          </w:r>
          <w:r>
            <w:rPr>
              <w:sz w:val="24"/>
              <w:szCs w:val="24"/>
            </w:rPr>
            <w:fldChar w:fldCharType="end"/>
          </w:r>
          <w:r>
            <w:rPr>
              <w:rFonts w:ascii="仿宋" w:hAnsi="仿宋" w:eastAsia="仿宋"/>
              <w:bCs/>
              <w:kern w:val="44"/>
              <w:sz w:val="24"/>
              <w:szCs w:val="24"/>
            </w:rPr>
            <w:fldChar w:fldCharType="end"/>
          </w:r>
        </w:p>
        <w:p>
          <w:pPr>
            <w:pStyle w:val="10"/>
            <w:tabs>
              <w:tab w:val="right" w:leader="dot" w:pos="8306"/>
              <w:tab w:val="clear" w:pos="8296"/>
            </w:tabs>
            <w:rPr>
              <w:sz w:val="24"/>
              <w:szCs w:val="24"/>
            </w:rPr>
          </w:pPr>
          <w:r>
            <w:rPr>
              <w:rFonts w:ascii="仿宋" w:hAnsi="仿宋" w:eastAsia="仿宋"/>
              <w:bCs/>
              <w:kern w:val="44"/>
              <w:sz w:val="24"/>
              <w:szCs w:val="24"/>
            </w:rPr>
            <w:fldChar w:fldCharType="begin"/>
          </w:r>
          <w:r>
            <w:rPr>
              <w:rFonts w:ascii="仿宋" w:hAnsi="仿宋" w:eastAsia="仿宋"/>
              <w:bCs/>
              <w:kern w:val="44"/>
              <w:sz w:val="24"/>
              <w:szCs w:val="24"/>
            </w:rPr>
            <w:instrText xml:space="preserve"> HYPERLINK \l _Toc24795 </w:instrText>
          </w:r>
          <w:r>
            <w:rPr>
              <w:rFonts w:ascii="仿宋" w:hAnsi="仿宋" w:eastAsia="仿宋"/>
              <w:bCs/>
              <w:kern w:val="44"/>
              <w:sz w:val="24"/>
              <w:szCs w:val="24"/>
            </w:rPr>
            <w:fldChar w:fldCharType="separate"/>
          </w:r>
          <w:r>
            <w:rPr>
              <w:rFonts w:hint="eastAsia" w:ascii="楷体_GB2312" w:eastAsia="楷体_GB2312"/>
              <w:sz w:val="24"/>
              <w:szCs w:val="24"/>
            </w:rPr>
            <w:t>（三）一般公共预算财政拨款支出决算具体情况</w:t>
          </w:r>
          <w:r>
            <w:rPr>
              <w:sz w:val="24"/>
              <w:szCs w:val="24"/>
            </w:rPr>
            <w:tab/>
          </w:r>
          <w:r>
            <w:rPr>
              <w:sz w:val="24"/>
              <w:szCs w:val="24"/>
            </w:rPr>
            <w:fldChar w:fldCharType="begin"/>
          </w:r>
          <w:r>
            <w:rPr>
              <w:sz w:val="24"/>
              <w:szCs w:val="24"/>
            </w:rPr>
            <w:instrText xml:space="preserve"> PAGEREF _Toc24795 </w:instrText>
          </w:r>
          <w:r>
            <w:rPr>
              <w:sz w:val="24"/>
              <w:szCs w:val="24"/>
            </w:rPr>
            <w:fldChar w:fldCharType="separate"/>
          </w:r>
          <w:r>
            <w:rPr>
              <w:sz w:val="24"/>
              <w:szCs w:val="24"/>
            </w:rPr>
            <w:t>9</w:t>
          </w:r>
          <w:r>
            <w:rPr>
              <w:sz w:val="24"/>
              <w:szCs w:val="24"/>
            </w:rPr>
            <w:fldChar w:fldCharType="end"/>
          </w:r>
          <w:r>
            <w:rPr>
              <w:rFonts w:ascii="仿宋" w:hAnsi="仿宋" w:eastAsia="仿宋"/>
              <w:bCs/>
              <w:kern w:val="44"/>
              <w:sz w:val="24"/>
              <w:szCs w:val="24"/>
            </w:rPr>
            <w:fldChar w:fldCharType="end"/>
          </w:r>
        </w:p>
        <w:p>
          <w:pPr>
            <w:pStyle w:val="15"/>
            <w:tabs>
              <w:tab w:val="right" w:leader="dot" w:pos="8306"/>
              <w:tab w:val="clear" w:pos="8296"/>
            </w:tabs>
            <w:rPr>
              <w:sz w:val="24"/>
              <w:szCs w:val="24"/>
            </w:rPr>
          </w:pPr>
          <w:r>
            <w:rPr>
              <w:rFonts w:ascii="仿宋" w:hAnsi="仿宋" w:eastAsia="仿宋"/>
              <w:bCs/>
              <w:kern w:val="44"/>
              <w:sz w:val="24"/>
              <w:szCs w:val="24"/>
            </w:rPr>
            <w:fldChar w:fldCharType="begin"/>
          </w:r>
          <w:r>
            <w:rPr>
              <w:rFonts w:ascii="仿宋" w:hAnsi="仿宋" w:eastAsia="仿宋"/>
              <w:bCs/>
              <w:kern w:val="44"/>
              <w:sz w:val="24"/>
              <w:szCs w:val="24"/>
            </w:rPr>
            <w:instrText xml:space="preserve"> HYPERLINK \l _Toc881 </w:instrText>
          </w:r>
          <w:r>
            <w:rPr>
              <w:rFonts w:ascii="仿宋" w:hAnsi="仿宋" w:eastAsia="仿宋"/>
              <w:bCs/>
              <w:kern w:val="44"/>
              <w:sz w:val="24"/>
              <w:szCs w:val="24"/>
            </w:rPr>
            <w:fldChar w:fldCharType="separate"/>
          </w:r>
          <w:r>
            <w:rPr>
              <w:rFonts w:hint="eastAsia" w:ascii="黑体" w:hAnsi="黑体" w:eastAsia="黑体"/>
              <w:sz w:val="24"/>
              <w:szCs w:val="24"/>
            </w:rPr>
            <w:t>六、一</w:t>
          </w:r>
          <w:r>
            <w:rPr>
              <w:rFonts w:hint="eastAsia" w:ascii="黑体" w:hAnsi="黑体" w:eastAsia="黑体"/>
              <w:bCs w:val="0"/>
              <w:sz w:val="24"/>
              <w:szCs w:val="24"/>
            </w:rPr>
            <w:t>般公共预算财政拨款基本支出决算情况说明</w:t>
          </w:r>
          <w:r>
            <w:rPr>
              <w:sz w:val="24"/>
              <w:szCs w:val="24"/>
            </w:rPr>
            <w:tab/>
          </w:r>
          <w:r>
            <w:rPr>
              <w:sz w:val="24"/>
              <w:szCs w:val="24"/>
            </w:rPr>
            <w:fldChar w:fldCharType="begin"/>
          </w:r>
          <w:r>
            <w:rPr>
              <w:sz w:val="24"/>
              <w:szCs w:val="24"/>
            </w:rPr>
            <w:instrText xml:space="preserve"> PAGEREF _Toc881 </w:instrText>
          </w:r>
          <w:r>
            <w:rPr>
              <w:sz w:val="24"/>
              <w:szCs w:val="24"/>
            </w:rPr>
            <w:fldChar w:fldCharType="separate"/>
          </w:r>
          <w:r>
            <w:rPr>
              <w:sz w:val="24"/>
              <w:szCs w:val="24"/>
            </w:rPr>
            <w:t>11</w:t>
          </w:r>
          <w:r>
            <w:rPr>
              <w:sz w:val="24"/>
              <w:szCs w:val="24"/>
            </w:rPr>
            <w:fldChar w:fldCharType="end"/>
          </w:r>
          <w:r>
            <w:rPr>
              <w:rFonts w:ascii="仿宋" w:hAnsi="仿宋" w:eastAsia="仿宋"/>
              <w:bCs/>
              <w:kern w:val="44"/>
              <w:sz w:val="24"/>
              <w:szCs w:val="24"/>
            </w:rPr>
            <w:fldChar w:fldCharType="end"/>
          </w:r>
        </w:p>
        <w:p>
          <w:pPr>
            <w:pStyle w:val="15"/>
            <w:tabs>
              <w:tab w:val="right" w:leader="dot" w:pos="8306"/>
              <w:tab w:val="clear" w:pos="8296"/>
            </w:tabs>
            <w:rPr>
              <w:sz w:val="24"/>
              <w:szCs w:val="24"/>
            </w:rPr>
          </w:pPr>
          <w:r>
            <w:rPr>
              <w:rFonts w:ascii="仿宋" w:hAnsi="仿宋" w:eastAsia="仿宋"/>
              <w:bCs/>
              <w:kern w:val="44"/>
              <w:sz w:val="24"/>
              <w:szCs w:val="24"/>
            </w:rPr>
            <w:fldChar w:fldCharType="begin"/>
          </w:r>
          <w:r>
            <w:rPr>
              <w:rFonts w:ascii="仿宋" w:hAnsi="仿宋" w:eastAsia="仿宋"/>
              <w:bCs/>
              <w:kern w:val="44"/>
              <w:sz w:val="24"/>
              <w:szCs w:val="24"/>
            </w:rPr>
            <w:instrText xml:space="preserve"> HYPERLINK \l _Toc16832 </w:instrText>
          </w:r>
          <w:r>
            <w:rPr>
              <w:rFonts w:ascii="仿宋" w:hAnsi="仿宋" w:eastAsia="仿宋"/>
              <w:bCs/>
              <w:kern w:val="44"/>
              <w:sz w:val="24"/>
              <w:szCs w:val="24"/>
            </w:rPr>
            <w:fldChar w:fldCharType="separate"/>
          </w:r>
          <w:r>
            <w:rPr>
              <w:rFonts w:hint="eastAsia" w:ascii="黑体" w:hAnsi="黑体" w:eastAsia="黑体"/>
              <w:sz w:val="24"/>
              <w:szCs w:val="24"/>
            </w:rPr>
            <w:t>七、</w:t>
          </w:r>
          <w:r>
            <w:rPr>
              <w:rFonts w:hint="eastAsia" w:ascii="黑体" w:hAnsi="黑体" w:eastAsia="黑体"/>
              <w:bCs w:val="0"/>
              <w:sz w:val="24"/>
              <w:szCs w:val="24"/>
            </w:rPr>
            <w:t>财政拨款“三公”经费支出决算情况说明</w:t>
          </w:r>
          <w:r>
            <w:rPr>
              <w:sz w:val="24"/>
              <w:szCs w:val="24"/>
            </w:rPr>
            <w:tab/>
          </w:r>
          <w:r>
            <w:rPr>
              <w:sz w:val="24"/>
              <w:szCs w:val="24"/>
            </w:rPr>
            <w:fldChar w:fldCharType="begin"/>
          </w:r>
          <w:r>
            <w:rPr>
              <w:sz w:val="24"/>
              <w:szCs w:val="24"/>
            </w:rPr>
            <w:instrText xml:space="preserve"> PAGEREF _Toc16832 </w:instrText>
          </w:r>
          <w:r>
            <w:rPr>
              <w:sz w:val="24"/>
              <w:szCs w:val="24"/>
            </w:rPr>
            <w:fldChar w:fldCharType="separate"/>
          </w:r>
          <w:r>
            <w:rPr>
              <w:sz w:val="24"/>
              <w:szCs w:val="24"/>
            </w:rPr>
            <w:t>11</w:t>
          </w:r>
          <w:r>
            <w:rPr>
              <w:sz w:val="24"/>
              <w:szCs w:val="24"/>
            </w:rPr>
            <w:fldChar w:fldCharType="end"/>
          </w:r>
          <w:r>
            <w:rPr>
              <w:rFonts w:ascii="仿宋" w:hAnsi="仿宋" w:eastAsia="仿宋"/>
              <w:bCs/>
              <w:kern w:val="44"/>
              <w:sz w:val="24"/>
              <w:szCs w:val="24"/>
            </w:rPr>
            <w:fldChar w:fldCharType="end"/>
          </w:r>
        </w:p>
        <w:p>
          <w:pPr>
            <w:pStyle w:val="10"/>
            <w:tabs>
              <w:tab w:val="right" w:leader="dot" w:pos="8306"/>
              <w:tab w:val="clear" w:pos="8296"/>
            </w:tabs>
            <w:rPr>
              <w:sz w:val="24"/>
              <w:szCs w:val="24"/>
            </w:rPr>
          </w:pPr>
          <w:r>
            <w:rPr>
              <w:rFonts w:ascii="仿宋" w:hAnsi="仿宋" w:eastAsia="仿宋"/>
              <w:bCs/>
              <w:kern w:val="44"/>
              <w:sz w:val="24"/>
              <w:szCs w:val="24"/>
            </w:rPr>
            <w:fldChar w:fldCharType="begin"/>
          </w:r>
          <w:r>
            <w:rPr>
              <w:rFonts w:ascii="仿宋" w:hAnsi="仿宋" w:eastAsia="仿宋"/>
              <w:bCs/>
              <w:kern w:val="44"/>
              <w:sz w:val="24"/>
              <w:szCs w:val="24"/>
            </w:rPr>
            <w:instrText xml:space="preserve"> HYPERLINK \l _Toc17035 </w:instrText>
          </w:r>
          <w:r>
            <w:rPr>
              <w:rFonts w:ascii="仿宋" w:hAnsi="仿宋" w:eastAsia="仿宋"/>
              <w:bCs/>
              <w:kern w:val="44"/>
              <w:sz w:val="24"/>
              <w:szCs w:val="24"/>
            </w:rPr>
            <w:fldChar w:fldCharType="separate"/>
          </w:r>
          <w:r>
            <w:rPr>
              <w:rFonts w:hint="eastAsia" w:ascii="楷体_GB2312" w:eastAsia="楷体_GB2312"/>
              <w:sz w:val="24"/>
              <w:szCs w:val="24"/>
            </w:rPr>
            <w:t>（一）“三公”经费财政拨款支出决算总体情况说明</w:t>
          </w:r>
          <w:r>
            <w:rPr>
              <w:sz w:val="24"/>
              <w:szCs w:val="24"/>
            </w:rPr>
            <w:tab/>
          </w:r>
          <w:r>
            <w:rPr>
              <w:sz w:val="24"/>
              <w:szCs w:val="24"/>
            </w:rPr>
            <w:fldChar w:fldCharType="begin"/>
          </w:r>
          <w:r>
            <w:rPr>
              <w:sz w:val="24"/>
              <w:szCs w:val="24"/>
            </w:rPr>
            <w:instrText xml:space="preserve"> PAGEREF _Toc17035 </w:instrText>
          </w:r>
          <w:r>
            <w:rPr>
              <w:sz w:val="24"/>
              <w:szCs w:val="24"/>
            </w:rPr>
            <w:fldChar w:fldCharType="separate"/>
          </w:r>
          <w:r>
            <w:rPr>
              <w:sz w:val="24"/>
              <w:szCs w:val="24"/>
            </w:rPr>
            <w:t>11</w:t>
          </w:r>
          <w:r>
            <w:rPr>
              <w:sz w:val="24"/>
              <w:szCs w:val="24"/>
            </w:rPr>
            <w:fldChar w:fldCharType="end"/>
          </w:r>
          <w:r>
            <w:rPr>
              <w:rFonts w:ascii="仿宋" w:hAnsi="仿宋" w:eastAsia="仿宋"/>
              <w:bCs/>
              <w:kern w:val="44"/>
              <w:sz w:val="24"/>
              <w:szCs w:val="24"/>
            </w:rPr>
            <w:fldChar w:fldCharType="end"/>
          </w:r>
        </w:p>
        <w:p>
          <w:pPr>
            <w:pStyle w:val="10"/>
            <w:tabs>
              <w:tab w:val="right" w:leader="dot" w:pos="8306"/>
              <w:tab w:val="clear" w:pos="8296"/>
            </w:tabs>
            <w:rPr>
              <w:sz w:val="24"/>
              <w:szCs w:val="24"/>
            </w:rPr>
          </w:pPr>
          <w:r>
            <w:rPr>
              <w:rFonts w:ascii="仿宋" w:hAnsi="仿宋" w:eastAsia="仿宋"/>
              <w:bCs/>
              <w:kern w:val="44"/>
              <w:sz w:val="24"/>
              <w:szCs w:val="24"/>
            </w:rPr>
            <w:fldChar w:fldCharType="begin"/>
          </w:r>
          <w:r>
            <w:rPr>
              <w:rFonts w:ascii="仿宋" w:hAnsi="仿宋" w:eastAsia="仿宋"/>
              <w:bCs/>
              <w:kern w:val="44"/>
              <w:sz w:val="24"/>
              <w:szCs w:val="24"/>
            </w:rPr>
            <w:instrText xml:space="preserve"> HYPERLINK \l _Toc17204 </w:instrText>
          </w:r>
          <w:r>
            <w:rPr>
              <w:rFonts w:ascii="仿宋" w:hAnsi="仿宋" w:eastAsia="仿宋"/>
              <w:bCs/>
              <w:kern w:val="44"/>
              <w:sz w:val="24"/>
              <w:szCs w:val="24"/>
            </w:rPr>
            <w:fldChar w:fldCharType="separate"/>
          </w:r>
          <w:r>
            <w:rPr>
              <w:rFonts w:hint="eastAsia" w:ascii="楷体_GB2312" w:eastAsia="楷体_GB2312"/>
              <w:sz w:val="24"/>
              <w:szCs w:val="24"/>
            </w:rPr>
            <w:t>（二）“三公”经费财政拨款支出决算具体情况说明</w:t>
          </w:r>
          <w:r>
            <w:rPr>
              <w:sz w:val="24"/>
              <w:szCs w:val="24"/>
            </w:rPr>
            <w:tab/>
          </w:r>
          <w:r>
            <w:rPr>
              <w:sz w:val="24"/>
              <w:szCs w:val="24"/>
            </w:rPr>
            <w:fldChar w:fldCharType="begin"/>
          </w:r>
          <w:r>
            <w:rPr>
              <w:sz w:val="24"/>
              <w:szCs w:val="24"/>
            </w:rPr>
            <w:instrText xml:space="preserve"> PAGEREF _Toc17204 </w:instrText>
          </w:r>
          <w:r>
            <w:rPr>
              <w:sz w:val="24"/>
              <w:szCs w:val="24"/>
            </w:rPr>
            <w:fldChar w:fldCharType="separate"/>
          </w:r>
          <w:r>
            <w:rPr>
              <w:sz w:val="24"/>
              <w:szCs w:val="24"/>
            </w:rPr>
            <w:t>11</w:t>
          </w:r>
          <w:r>
            <w:rPr>
              <w:sz w:val="24"/>
              <w:szCs w:val="24"/>
            </w:rPr>
            <w:fldChar w:fldCharType="end"/>
          </w:r>
          <w:r>
            <w:rPr>
              <w:rFonts w:ascii="仿宋" w:hAnsi="仿宋" w:eastAsia="仿宋"/>
              <w:bCs/>
              <w:kern w:val="44"/>
              <w:sz w:val="24"/>
              <w:szCs w:val="24"/>
            </w:rPr>
            <w:fldChar w:fldCharType="end"/>
          </w:r>
        </w:p>
        <w:p>
          <w:pPr>
            <w:pStyle w:val="15"/>
            <w:tabs>
              <w:tab w:val="right" w:leader="dot" w:pos="8306"/>
              <w:tab w:val="clear" w:pos="8296"/>
            </w:tabs>
            <w:rPr>
              <w:sz w:val="24"/>
              <w:szCs w:val="24"/>
            </w:rPr>
          </w:pPr>
          <w:r>
            <w:rPr>
              <w:rFonts w:ascii="仿宋" w:hAnsi="仿宋" w:eastAsia="仿宋"/>
              <w:bCs/>
              <w:kern w:val="44"/>
              <w:sz w:val="24"/>
              <w:szCs w:val="24"/>
            </w:rPr>
            <w:fldChar w:fldCharType="begin"/>
          </w:r>
          <w:r>
            <w:rPr>
              <w:rFonts w:ascii="仿宋" w:hAnsi="仿宋" w:eastAsia="仿宋"/>
              <w:bCs/>
              <w:kern w:val="44"/>
              <w:sz w:val="24"/>
              <w:szCs w:val="24"/>
            </w:rPr>
            <w:instrText xml:space="preserve"> HYPERLINK \l _Toc21903 </w:instrText>
          </w:r>
          <w:r>
            <w:rPr>
              <w:rFonts w:ascii="仿宋" w:hAnsi="仿宋" w:eastAsia="仿宋"/>
              <w:bCs/>
              <w:kern w:val="44"/>
              <w:sz w:val="24"/>
              <w:szCs w:val="24"/>
            </w:rPr>
            <w:fldChar w:fldCharType="separate"/>
          </w:r>
          <w:r>
            <w:rPr>
              <w:rFonts w:hint="eastAsia" w:ascii="黑体" w:hAnsi="黑体" w:eastAsia="黑体"/>
              <w:sz w:val="24"/>
              <w:szCs w:val="24"/>
            </w:rPr>
            <w:t>八、</w:t>
          </w:r>
          <w:r>
            <w:rPr>
              <w:rFonts w:hint="eastAsia" w:ascii="黑体" w:hAnsi="黑体" w:eastAsia="黑体"/>
              <w:bCs w:val="0"/>
              <w:sz w:val="24"/>
              <w:szCs w:val="24"/>
            </w:rPr>
            <w:t>政府性基金预算支出决算情况说明</w:t>
          </w:r>
          <w:r>
            <w:rPr>
              <w:sz w:val="24"/>
              <w:szCs w:val="24"/>
            </w:rPr>
            <w:tab/>
          </w:r>
          <w:r>
            <w:rPr>
              <w:sz w:val="24"/>
              <w:szCs w:val="24"/>
            </w:rPr>
            <w:fldChar w:fldCharType="begin"/>
          </w:r>
          <w:r>
            <w:rPr>
              <w:sz w:val="24"/>
              <w:szCs w:val="24"/>
            </w:rPr>
            <w:instrText xml:space="preserve"> PAGEREF _Toc21903 </w:instrText>
          </w:r>
          <w:r>
            <w:rPr>
              <w:sz w:val="24"/>
              <w:szCs w:val="24"/>
            </w:rPr>
            <w:fldChar w:fldCharType="separate"/>
          </w:r>
          <w:r>
            <w:rPr>
              <w:sz w:val="24"/>
              <w:szCs w:val="24"/>
            </w:rPr>
            <w:t>13</w:t>
          </w:r>
          <w:r>
            <w:rPr>
              <w:sz w:val="24"/>
              <w:szCs w:val="24"/>
            </w:rPr>
            <w:fldChar w:fldCharType="end"/>
          </w:r>
          <w:r>
            <w:rPr>
              <w:rFonts w:ascii="仿宋" w:hAnsi="仿宋" w:eastAsia="仿宋"/>
              <w:bCs/>
              <w:kern w:val="44"/>
              <w:sz w:val="24"/>
              <w:szCs w:val="24"/>
            </w:rPr>
            <w:fldChar w:fldCharType="end"/>
          </w:r>
        </w:p>
        <w:p>
          <w:pPr>
            <w:pStyle w:val="15"/>
            <w:tabs>
              <w:tab w:val="right" w:leader="dot" w:pos="8306"/>
              <w:tab w:val="clear" w:pos="8296"/>
            </w:tabs>
            <w:rPr>
              <w:sz w:val="24"/>
              <w:szCs w:val="24"/>
            </w:rPr>
          </w:pPr>
          <w:r>
            <w:rPr>
              <w:rFonts w:ascii="仿宋" w:hAnsi="仿宋" w:eastAsia="仿宋"/>
              <w:bCs/>
              <w:kern w:val="44"/>
              <w:sz w:val="24"/>
              <w:szCs w:val="24"/>
            </w:rPr>
            <w:fldChar w:fldCharType="begin"/>
          </w:r>
          <w:r>
            <w:rPr>
              <w:rFonts w:ascii="仿宋" w:hAnsi="仿宋" w:eastAsia="仿宋"/>
              <w:bCs/>
              <w:kern w:val="44"/>
              <w:sz w:val="24"/>
              <w:szCs w:val="24"/>
            </w:rPr>
            <w:instrText xml:space="preserve"> HYPERLINK \l _Toc18730 </w:instrText>
          </w:r>
          <w:r>
            <w:rPr>
              <w:rFonts w:ascii="仿宋" w:hAnsi="仿宋" w:eastAsia="仿宋"/>
              <w:bCs/>
              <w:kern w:val="44"/>
              <w:sz w:val="24"/>
              <w:szCs w:val="24"/>
            </w:rPr>
            <w:fldChar w:fldCharType="separate"/>
          </w:r>
          <w:r>
            <w:rPr>
              <w:rFonts w:hint="eastAsia" w:ascii="黑体" w:hAnsi="黑体" w:eastAsia="黑体"/>
              <w:bCs w:val="0"/>
              <w:sz w:val="24"/>
              <w:szCs w:val="24"/>
            </w:rPr>
            <w:t>九、国有资本经营预算支出决算情况说明</w:t>
          </w:r>
          <w:r>
            <w:rPr>
              <w:sz w:val="24"/>
              <w:szCs w:val="24"/>
            </w:rPr>
            <w:tab/>
          </w:r>
          <w:r>
            <w:rPr>
              <w:sz w:val="24"/>
              <w:szCs w:val="24"/>
            </w:rPr>
            <w:fldChar w:fldCharType="begin"/>
          </w:r>
          <w:r>
            <w:rPr>
              <w:sz w:val="24"/>
              <w:szCs w:val="24"/>
            </w:rPr>
            <w:instrText xml:space="preserve"> PAGEREF _Toc18730 </w:instrText>
          </w:r>
          <w:r>
            <w:rPr>
              <w:sz w:val="24"/>
              <w:szCs w:val="24"/>
            </w:rPr>
            <w:fldChar w:fldCharType="separate"/>
          </w:r>
          <w:r>
            <w:rPr>
              <w:sz w:val="24"/>
              <w:szCs w:val="24"/>
            </w:rPr>
            <w:t>13</w:t>
          </w:r>
          <w:r>
            <w:rPr>
              <w:sz w:val="24"/>
              <w:szCs w:val="24"/>
            </w:rPr>
            <w:fldChar w:fldCharType="end"/>
          </w:r>
          <w:r>
            <w:rPr>
              <w:rFonts w:ascii="仿宋" w:hAnsi="仿宋" w:eastAsia="仿宋"/>
              <w:bCs/>
              <w:kern w:val="44"/>
              <w:sz w:val="24"/>
              <w:szCs w:val="24"/>
            </w:rPr>
            <w:fldChar w:fldCharType="end"/>
          </w:r>
        </w:p>
        <w:p>
          <w:pPr>
            <w:pStyle w:val="15"/>
            <w:tabs>
              <w:tab w:val="right" w:leader="dot" w:pos="8306"/>
              <w:tab w:val="clear" w:pos="8296"/>
            </w:tabs>
            <w:rPr>
              <w:sz w:val="24"/>
              <w:szCs w:val="24"/>
            </w:rPr>
          </w:pPr>
          <w:r>
            <w:rPr>
              <w:rFonts w:ascii="仿宋" w:hAnsi="仿宋" w:eastAsia="仿宋"/>
              <w:bCs/>
              <w:kern w:val="44"/>
              <w:sz w:val="24"/>
              <w:szCs w:val="24"/>
            </w:rPr>
            <w:fldChar w:fldCharType="begin"/>
          </w:r>
          <w:r>
            <w:rPr>
              <w:rFonts w:ascii="仿宋" w:hAnsi="仿宋" w:eastAsia="仿宋"/>
              <w:bCs/>
              <w:kern w:val="44"/>
              <w:sz w:val="24"/>
              <w:szCs w:val="24"/>
            </w:rPr>
            <w:instrText xml:space="preserve"> HYPERLINK \l _Toc30529 </w:instrText>
          </w:r>
          <w:r>
            <w:rPr>
              <w:rFonts w:ascii="仿宋" w:hAnsi="仿宋" w:eastAsia="仿宋"/>
              <w:bCs/>
              <w:kern w:val="44"/>
              <w:sz w:val="24"/>
              <w:szCs w:val="24"/>
            </w:rPr>
            <w:fldChar w:fldCharType="separate"/>
          </w:r>
          <w:r>
            <w:rPr>
              <w:rFonts w:hint="eastAsia" w:ascii="黑体" w:hAnsi="黑体" w:eastAsia="黑体"/>
              <w:bCs w:val="0"/>
              <w:sz w:val="24"/>
              <w:szCs w:val="24"/>
            </w:rPr>
            <w:t>十、其他重要事项的情况说明</w:t>
          </w:r>
          <w:r>
            <w:rPr>
              <w:sz w:val="24"/>
              <w:szCs w:val="24"/>
            </w:rPr>
            <w:tab/>
          </w:r>
          <w:r>
            <w:rPr>
              <w:sz w:val="24"/>
              <w:szCs w:val="24"/>
            </w:rPr>
            <w:fldChar w:fldCharType="begin"/>
          </w:r>
          <w:r>
            <w:rPr>
              <w:sz w:val="24"/>
              <w:szCs w:val="24"/>
            </w:rPr>
            <w:instrText xml:space="preserve"> PAGEREF _Toc30529 </w:instrText>
          </w:r>
          <w:r>
            <w:rPr>
              <w:sz w:val="24"/>
              <w:szCs w:val="24"/>
            </w:rPr>
            <w:fldChar w:fldCharType="separate"/>
          </w:r>
          <w:r>
            <w:rPr>
              <w:sz w:val="24"/>
              <w:szCs w:val="24"/>
            </w:rPr>
            <w:t>13</w:t>
          </w:r>
          <w:r>
            <w:rPr>
              <w:sz w:val="24"/>
              <w:szCs w:val="24"/>
            </w:rPr>
            <w:fldChar w:fldCharType="end"/>
          </w:r>
          <w:r>
            <w:rPr>
              <w:rFonts w:ascii="仿宋" w:hAnsi="仿宋" w:eastAsia="仿宋"/>
              <w:bCs/>
              <w:kern w:val="44"/>
              <w:sz w:val="24"/>
              <w:szCs w:val="24"/>
            </w:rPr>
            <w:fldChar w:fldCharType="end"/>
          </w:r>
        </w:p>
        <w:p>
          <w:pPr>
            <w:pStyle w:val="10"/>
            <w:tabs>
              <w:tab w:val="right" w:leader="dot" w:pos="8306"/>
              <w:tab w:val="clear" w:pos="8296"/>
            </w:tabs>
            <w:rPr>
              <w:sz w:val="24"/>
              <w:szCs w:val="24"/>
            </w:rPr>
          </w:pPr>
          <w:r>
            <w:rPr>
              <w:rFonts w:ascii="仿宋" w:hAnsi="仿宋" w:eastAsia="仿宋"/>
              <w:bCs/>
              <w:kern w:val="44"/>
              <w:sz w:val="24"/>
              <w:szCs w:val="24"/>
            </w:rPr>
            <w:fldChar w:fldCharType="begin"/>
          </w:r>
          <w:r>
            <w:rPr>
              <w:rFonts w:ascii="仿宋" w:hAnsi="仿宋" w:eastAsia="仿宋"/>
              <w:bCs/>
              <w:kern w:val="44"/>
              <w:sz w:val="24"/>
              <w:szCs w:val="24"/>
            </w:rPr>
            <w:instrText xml:space="preserve"> HYPERLINK \l _Toc30583 </w:instrText>
          </w:r>
          <w:r>
            <w:rPr>
              <w:rFonts w:ascii="仿宋" w:hAnsi="仿宋" w:eastAsia="仿宋"/>
              <w:bCs/>
              <w:kern w:val="44"/>
              <w:sz w:val="24"/>
              <w:szCs w:val="24"/>
            </w:rPr>
            <w:fldChar w:fldCharType="separate"/>
          </w:r>
          <w:r>
            <w:rPr>
              <w:rFonts w:hint="eastAsia" w:ascii="楷体_GB2312" w:eastAsia="楷体_GB2312"/>
              <w:sz w:val="24"/>
              <w:szCs w:val="24"/>
            </w:rPr>
            <w:t>（一）机关运行经费支出情况</w:t>
          </w:r>
          <w:r>
            <w:rPr>
              <w:sz w:val="24"/>
              <w:szCs w:val="24"/>
            </w:rPr>
            <w:tab/>
          </w:r>
          <w:r>
            <w:rPr>
              <w:sz w:val="24"/>
              <w:szCs w:val="24"/>
            </w:rPr>
            <w:fldChar w:fldCharType="begin"/>
          </w:r>
          <w:r>
            <w:rPr>
              <w:sz w:val="24"/>
              <w:szCs w:val="24"/>
            </w:rPr>
            <w:instrText xml:space="preserve"> PAGEREF _Toc30583 </w:instrText>
          </w:r>
          <w:r>
            <w:rPr>
              <w:sz w:val="24"/>
              <w:szCs w:val="24"/>
            </w:rPr>
            <w:fldChar w:fldCharType="separate"/>
          </w:r>
          <w:r>
            <w:rPr>
              <w:sz w:val="24"/>
              <w:szCs w:val="24"/>
            </w:rPr>
            <w:t>13</w:t>
          </w:r>
          <w:r>
            <w:rPr>
              <w:sz w:val="24"/>
              <w:szCs w:val="24"/>
            </w:rPr>
            <w:fldChar w:fldCharType="end"/>
          </w:r>
          <w:r>
            <w:rPr>
              <w:rFonts w:ascii="仿宋" w:hAnsi="仿宋" w:eastAsia="仿宋"/>
              <w:bCs/>
              <w:kern w:val="44"/>
              <w:sz w:val="24"/>
              <w:szCs w:val="24"/>
            </w:rPr>
            <w:fldChar w:fldCharType="end"/>
          </w:r>
        </w:p>
        <w:p>
          <w:pPr>
            <w:pStyle w:val="10"/>
            <w:tabs>
              <w:tab w:val="right" w:leader="dot" w:pos="8306"/>
              <w:tab w:val="clear" w:pos="8296"/>
            </w:tabs>
            <w:rPr>
              <w:sz w:val="24"/>
              <w:szCs w:val="24"/>
            </w:rPr>
          </w:pPr>
          <w:r>
            <w:rPr>
              <w:rFonts w:ascii="仿宋" w:hAnsi="仿宋" w:eastAsia="仿宋"/>
              <w:bCs/>
              <w:kern w:val="44"/>
              <w:sz w:val="24"/>
              <w:szCs w:val="24"/>
            </w:rPr>
            <w:fldChar w:fldCharType="begin"/>
          </w:r>
          <w:r>
            <w:rPr>
              <w:rFonts w:ascii="仿宋" w:hAnsi="仿宋" w:eastAsia="仿宋"/>
              <w:bCs/>
              <w:kern w:val="44"/>
              <w:sz w:val="24"/>
              <w:szCs w:val="24"/>
            </w:rPr>
            <w:instrText xml:space="preserve"> HYPERLINK \l _Toc10199 </w:instrText>
          </w:r>
          <w:r>
            <w:rPr>
              <w:rFonts w:ascii="仿宋" w:hAnsi="仿宋" w:eastAsia="仿宋"/>
              <w:bCs/>
              <w:kern w:val="44"/>
              <w:sz w:val="24"/>
              <w:szCs w:val="24"/>
            </w:rPr>
            <w:fldChar w:fldCharType="separate"/>
          </w:r>
          <w:r>
            <w:rPr>
              <w:rFonts w:hint="eastAsia" w:ascii="楷体_GB2312" w:eastAsia="楷体_GB2312"/>
              <w:sz w:val="24"/>
              <w:szCs w:val="24"/>
            </w:rPr>
            <w:t>（二）政府采购支出情况</w:t>
          </w:r>
          <w:r>
            <w:rPr>
              <w:sz w:val="24"/>
              <w:szCs w:val="24"/>
            </w:rPr>
            <w:tab/>
          </w:r>
          <w:r>
            <w:rPr>
              <w:sz w:val="24"/>
              <w:szCs w:val="24"/>
            </w:rPr>
            <w:fldChar w:fldCharType="begin"/>
          </w:r>
          <w:r>
            <w:rPr>
              <w:sz w:val="24"/>
              <w:szCs w:val="24"/>
            </w:rPr>
            <w:instrText xml:space="preserve"> PAGEREF _Toc10199 </w:instrText>
          </w:r>
          <w:r>
            <w:rPr>
              <w:sz w:val="24"/>
              <w:szCs w:val="24"/>
            </w:rPr>
            <w:fldChar w:fldCharType="separate"/>
          </w:r>
          <w:r>
            <w:rPr>
              <w:sz w:val="24"/>
              <w:szCs w:val="24"/>
            </w:rPr>
            <w:t>14</w:t>
          </w:r>
          <w:r>
            <w:rPr>
              <w:sz w:val="24"/>
              <w:szCs w:val="24"/>
            </w:rPr>
            <w:fldChar w:fldCharType="end"/>
          </w:r>
          <w:r>
            <w:rPr>
              <w:rFonts w:ascii="仿宋" w:hAnsi="仿宋" w:eastAsia="仿宋"/>
              <w:bCs/>
              <w:kern w:val="44"/>
              <w:sz w:val="24"/>
              <w:szCs w:val="24"/>
            </w:rPr>
            <w:fldChar w:fldCharType="end"/>
          </w:r>
        </w:p>
        <w:p>
          <w:pPr>
            <w:pStyle w:val="10"/>
            <w:tabs>
              <w:tab w:val="right" w:leader="dot" w:pos="8306"/>
              <w:tab w:val="clear" w:pos="8296"/>
            </w:tabs>
            <w:rPr>
              <w:sz w:val="24"/>
              <w:szCs w:val="24"/>
            </w:rPr>
          </w:pPr>
          <w:r>
            <w:rPr>
              <w:rFonts w:ascii="仿宋" w:hAnsi="仿宋" w:eastAsia="仿宋"/>
              <w:bCs/>
              <w:kern w:val="44"/>
              <w:sz w:val="24"/>
              <w:szCs w:val="24"/>
            </w:rPr>
            <w:fldChar w:fldCharType="begin"/>
          </w:r>
          <w:r>
            <w:rPr>
              <w:rFonts w:ascii="仿宋" w:hAnsi="仿宋" w:eastAsia="仿宋"/>
              <w:bCs/>
              <w:kern w:val="44"/>
              <w:sz w:val="24"/>
              <w:szCs w:val="24"/>
            </w:rPr>
            <w:instrText xml:space="preserve"> HYPERLINK \l _Toc21084 </w:instrText>
          </w:r>
          <w:r>
            <w:rPr>
              <w:rFonts w:ascii="仿宋" w:hAnsi="仿宋" w:eastAsia="仿宋"/>
              <w:bCs/>
              <w:kern w:val="44"/>
              <w:sz w:val="24"/>
              <w:szCs w:val="24"/>
            </w:rPr>
            <w:fldChar w:fldCharType="separate"/>
          </w:r>
          <w:r>
            <w:rPr>
              <w:rFonts w:hint="eastAsia" w:ascii="楷体_GB2312" w:eastAsia="楷体_GB2312"/>
              <w:sz w:val="24"/>
              <w:szCs w:val="24"/>
            </w:rPr>
            <w:t>（三）国有资产占有使用情况</w:t>
          </w:r>
          <w:r>
            <w:rPr>
              <w:sz w:val="24"/>
              <w:szCs w:val="24"/>
            </w:rPr>
            <w:tab/>
          </w:r>
          <w:r>
            <w:rPr>
              <w:sz w:val="24"/>
              <w:szCs w:val="24"/>
            </w:rPr>
            <w:fldChar w:fldCharType="begin"/>
          </w:r>
          <w:r>
            <w:rPr>
              <w:sz w:val="24"/>
              <w:szCs w:val="24"/>
            </w:rPr>
            <w:instrText xml:space="preserve"> PAGEREF _Toc21084 </w:instrText>
          </w:r>
          <w:r>
            <w:rPr>
              <w:sz w:val="24"/>
              <w:szCs w:val="24"/>
            </w:rPr>
            <w:fldChar w:fldCharType="separate"/>
          </w:r>
          <w:r>
            <w:rPr>
              <w:sz w:val="24"/>
              <w:szCs w:val="24"/>
            </w:rPr>
            <w:t>14</w:t>
          </w:r>
          <w:r>
            <w:rPr>
              <w:sz w:val="24"/>
              <w:szCs w:val="24"/>
            </w:rPr>
            <w:fldChar w:fldCharType="end"/>
          </w:r>
          <w:r>
            <w:rPr>
              <w:rFonts w:ascii="仿宋" w:hAnsi="仿宋" w:eastAsia="仿宋"/>
              <w:bCs/>
              <w:kern w:val="44"/>
              <w:sz w:val="24"/>
              <w:szCs w:val="24"/>
            </w:rPr>
            <w:fldChar w:fldCharType="end"/>
          </w:r>
        </w:p>
        <w:p>
          <w:pPr>
            <w:pStyle w:val="10"/>
            <w:tabs>
              <w:tab w:val="right" w:leader="dot" w:pos="8306"/>
              <w:tab w:val="clear" w:pos="8296"/>
            </w:tabs>
            <w:rPr>
              <w:sz w:val="24"/>
              <w:szCs w:val="24"/>
            </w:rPr>
          </w:pPr>
          <w:r>
            <w:rPr>
              <w:rFonts w:ascii="仿宋" w:hAnsi="仿宋" w:eastAsia="仿宋"/>
              <w:bCs/>
              <w:kern w:val="44"/>
              <w:sz w:val="24"/>
              <w:szCs w:val="24"/>
            </w:rPr>
            <w:fldChar w:fldCharType="begin"/>
          </w:r>
          <w:r>
            <w:rPr>
              <w:rFonts w:ascii="仿宋" w:hAnsi="仿宋" w:eastAsia="仿宋"/>
              <w:bCs/>
              <w:kern w:val="44"/>
              <w:sz w:val="24"/>
              <w:szCs w:val="24"/>
            </w:rPr>
            <w:instrText xml:space="preserve"> HYPERLINK \l _Toc29648 </w:instrText>
          </w:r>
          <w:r>
            <w:rPr>
              <w:rFonts w:ascii="仿宋" w:hAnsi="仿宋" w:eastAsia="仿宋"/>
              <w:bCs/>
              <w:kern w:val="44"/>
              <w:sz w:val="24"/>
              <w:szCs w:val="24"/>
            </w:rPr>
            <w:fldChar w:fldCharType="separate"/>
          </w:r>
          <w:r>
            <w:rPr>
              <w:rFonts w:hint="eastAsia" w:ascii="楷体_GB2312" w:eastAsia="楷体_GB2312"/>
              <w:sz w:val="24"/>
              <w:szCs w:val="24"/>
            </w:rPr>
            <w:t>（四）预算绩效管理情况</w:t>
          </w:r>
          <w:r>
            <w:rPr>
              <w:sz w:val="24"/>
              <w:szCs w:val="24"/>
            </w:rPr>
            <w:tab/>
          </w:r>
          <w:r>
            <w:rPr>
              <w:sz w:val="24"/>
              <w:szCs w:val="24"/>
            </w:rPr>
            <w:fldChar w:fldCharType="begin"/>
          </w:r>
          <w:r>
            <w:rPr>
              <w:sz w:val="24"/>
              <w:szCs w:val="24"/>
            </w:rPr>
            <w:instrText xml:space="preserve"> PAGEREF _Toc29648 </w:instrText>
          </w:r>
          <w:r>
            <w:rPr>
              <w:sz w:val="24"/>
              <w:szCs w:val="24"/>
            </w:rPr>
            <w:fldChar w:fldCharType="separate"/>
          </w:r>
          <w:r>
            <w:rPr>
              <w:sz w:val="24"/>
              <w:szCs w:val="24"/>
            </w:rPr>
            <w:t>14</w:t>
          </w:r>
          <w:r>
            <w:rPr>
              <w:sz w:val="24"/>
              <w:szCs w:val="24"/>
            </w:rPr>
            <w:fldChar w:fldCharType="end"/>
          </w:r>
          <w:r>
            <w:rPr>
              <w:rFonts w:ascii="仿宋" w:hAnsi="仿宋" w:eastAsia="仿宋"/>
              <w:bCs/>
              <w:kern w:val="44"/>
              <w:sz w:val="24"/>
              <w:szCs w:val="24"/>
            </w:rPr>
            <w:fldChar w:fldCharType="end"/>
          </w:r>
        </w:p>
        <w:p>
          <w:pPr>
            <w:pStyle w:val="14"/>
            <w:tabs>
              <w:tab w:val="right" w:leader="dot" w:pos="8306"/>
              <w:tab w:val="clear" w:pos="8296"/>
            </w:tabs>
            <w:rPr>
              <w:sz w:val="24"/>
              <w:szCs w:val="24"/>
            </w:rPr>
          </w:pPr>
          <w:r>
            <w:rPr>
              <w:rFonts w:ascii="仿宋" w:hAnsi="仿宋" w:eastAsia="仿宋"/>
              <w:bCs/>
              <w:kern w:val="44"/>
              <w:sz w:val="24"/>
              <w:szCs w:val="24"/>
            </w:rPr>
            <w:fldChar w:fldCharType="begin"/>
          </w:r>
          <w:r>
            <w:rPr>
              <w:rFonts w:ascii="仿宋" w:hAnsi="仿宋" w:eastAsia="仿宋"/>
              <w:bCs/>
              <w:kern w:val="44"/>
              <w:sz w:val="24"/>
              <w:szCs w:val="24"/>
            </w:rPr>
            <w:instrText xml:space="preserve"> HYPERLINK \l _Toc28825 </w:instrText>
          </w:r>
          <w:r>
            <w:rPr>
              <w:rFonts w:ascii="仿宋" w:hAnsi="仿宋" w:eastAsia="仿宋"/>
              <w:bCs/>
              <w:kern w:val="44"/>
              <w:sz w:val="24"/>
              <w:szCs w:val="24"/>
            </w:rPr>
            <w:fldChar w:fldCharType="separate"/>
          </w:r>
          <w:r>
            <w:rPr>
              <w:rFonts w:hint="eastAsia" w:ascii="黑体" w:hAnsi="黑体" w:eastAsia="黑体"/>
              <w:sz w:val="24"/>
              <w:szCs w:val="24"/>
            </w:rPr>
            <w:t>第三部分 名词解释</w:t>
          </w:r>
          <w:r>
            <w:rPr>
              <w:sz w:val="24"/>
              <w:szCs w:val="24"/>
            </w:rPr>
            <w:tab/>
          </w:r>
          <w:r>
            <w:rPr>
              <w:sz w:val="24"/>
              <w:szCs w:val="24"/>
            </w:rPr>
            <w:fldChar w:fldCharType="begin"/>
          </w:r>
          <w:r>
            <w:rPr>
              <w:sz w:val="24"/>
              <w:szCs w:val="24"/>
            </w:rPr>
            <w:instrText xml:space="preserve"> PAGEREF _Toc28825 </w:instrText>
          </w:r>
          <w:r>
            <w:rPr>
              <w:sz w:val="24"/>
              <w:szCs w:val="24"/>
            </w:rPr>
            <w:fldChar w:fldCharType="separate"/>
          </w:r>
          <w:r>
            <w:rPr>
              <w:sz w:val="24"/>
              <w:szCs w:val="24"/>
            </w:rPr>
            <w:t>16</w:t>
          </w:r>
          <w:r>
            <w:rPr>
              <w:sz w:val="24"/>
              <w:szCs w:val="24"/>
            </w:rPr>
            <w:fldChar w:fldCharType="end"/>
          </w:r>
          <w:r>
            <w:rPr>
              <w:rFonts w:ascii="仿宋" w:hAnsi="仿宋" w:eastAsia="仿宋"/>
              <w:bCs/>
              <w:kern w:val="44"/>
              <w:sz w:val="24"/>
              <w:szCs w:val="24"/>
            </w:rPr>
            <w:fldChar w:fldCharType="end"/>
          </w:r>
        </w:p>
        <w:p>
          <w:pPr>
            <w:pStyle w:val="14"/>
            <w:tabs>
              <w:tab w:val="right" w:leader="dot" w:pos="8306"/>
              <w:tab w:val="clear" w:pos="8296"/>
            </w:tabs>
            <w:rPr>
              <w:sz w:val="24"/>
              <w:szCs w:val="24"/>
            </w:rPr>
          </w:pPr>
          <w:r>
            <w:rPr>
              <w:rFonts w:ascii="仿宋" w:hAnsi="仿宋" w:eastAsia="仿宋"/>
              <w:bCs/>
              <w:kern w:val="44"/>
              <w:sz w:val="24"/>
              <w:szCs w:val="24"/>
            </w:rPr>
            <w:fldChar w:fldCharType="begin"/>
          </w:r>
          <w:r>
            <w:rPr>
              <w:rFonts w:ascii="仿宋" w:hAnsi="仿宋" w:eastAsia="仿宋"/>
              <w:bCs/>
              <w:kern w:val="44"/>
              <w:sz w:val="24"/>
              <w:szCs w:val="24"/>
            </w:rPr>
            <w:instrText xml:space="preserve"> HYPERLINK \l _Toc19005 </w:instrText>
          </w:r>
          <w:r>
            <w:rPr>
              <w:rFonts w:ascii="仿宋" w:hAnsi="仿宋" w:eastAsia="仿宋"/>
              <w:bCs/>
              <w:kern w:val="44"/>
              <w:sz w:val="24"/>
              <w:szCs w:val="24"/>
            </w:rPr>
            <w:fldChar w:fldCharType="separate"/>
          </w:r>
          <w:r>
            <w:rPr>
              <w:rFonts w:hint="eastAsia" w:ascii="黑体" w:hAnsi="黑体" w:eastAsia="黑体"/>
              <w:sz w:val="24"/>
              <w:szCs w:val="24"/>
            </w:rPr>
            <w:t>第</w:t>
          </w:r>
          <w:r>
            <w:rPr>
              <w:rFonts w:hint="eastAsia" w:ascii="黑体" w:hAnsi="黑体" w:eastAsia="黑体"/>
              <w:bCs w:val="0"/>
              <w:sz w:val="24"/>
              <w:szCs w:val="24"/>
            </w:rPr>
            <w:t>四部分 附件</w:t>
          </w:r>
          <w:r>
            <w:rPr>
              <w:sz w:val="24"/>
              <w:szCs w:val="24"/>
            </w:rPr>
            <w:tab/>
          </w:r>
          <w:r>
            <w:rPr>
              <w:sz w:val="24"/>
              <w:szCs w:val="24"/>
            </w:rPr>
            <w:fldChar w:fldCharType="begin"/>
          </w:r>
          <w:r>
            <w:rPr>
              <w:sz w:val="24"/>
              <w:szCs w:val="24"/>
            </w:rPr>
            <w:instrText xml:space="preserve"> PAGEREF _Toc19005 </w:instrText>
          </w:r>
          <w:r>
            <w:rPr>
              <w:sz w:val="24"/>
              <w:szCs w:val="24"/>
            </w:rPr>
            <w:fldChar w:fldCharType="separate"/>
          </w:r>
          <w:r>
            <w:rPr>
              <w:sz w:val="24"/>
              <w:szCs w:val="24"/>
            </w:rPr>
            <w:t>19</w:t>
          </w:r>
          <w:r>
            <w:rPr>
              <w:sz w:val="24"/>
              <w:szCs w:val="24"/>
            </w:rPr>
            <w:fldChar w:fldCharType="end"/>
          </w:r>
          <w:r>
            <w:rPr>
              <w:rFonts w:ascii="仿宋" w:hAnsi="仿宋" w:eastAsia="仿宋"/>
              <w:bCs/>
              <w:kern w:val="44"/>
              <w:sz w:val="24"/>
              <w:szCs w:val="24"/>
            </w:rPr>
            <w:fldChar w:fldCharType="end"/>
          </w:r>
        </w:p>
        <w:p>
          <w:pPr>
            <w:pStyle w:val="10"/>
            <w:tabs>
              <w:tab w:val="right" w:leader="dot" w:pos="8306"/>
              <w:tab w:val="clear" w:pos="8296"/>
            </w:tabs>
            <w:rPr>
              <w:sz w:val="24"/>
              <w:szCs w:val="24"/>
            </w:rPr>
          </w:pPr>
          <w:r>
            <w:rPr>
              <w:rFonts w:ascii="仿宋" w:hAnsi="仿宋" w:eastAsia="仿宋"/>
              <w:bCs/>
              <w:kern w:val="44"/>
              <w:sz w:val="24"/>
              <w:szCs w:val="24"/>
            </w:rPr>
            <w:fldChar w:fldCharType="begin"/>
          </w:r>
          <w:r>
            <w:rPr>
              <w:rFonts w:ascii="仿宋" w:hAnsi="仿宋" w:eastAsia="仿宋"/>
              <w:bCs/>
              <w:kern w:val="44"/>
              <w:sz w:val="24"/>
              <w:szCs w:val="24"/>
            </w:rPr>
            <w:instrText xml:space="preserve"> HYPERLINK \l _Toc13065 </w:instrText>
          </w:r>
          <w:r>
            <w:rPr>
              <w:rFonts w:ascii="仿宋" w:hAnsi="仿宋" w:eastAsia="仿宋"/>
              <w:bCs/>
              <w:kern w:val="44"/>
              <w:sz w:val="24"/>
              <w:szCs w:val="24"/>
            </w:rPr>
            <w:fldChar w:fldCharType="separate"/>
          </w:r>
          <w:r>
            <w:rPr>
              <w:rFonts w:hint="eastAsia"/>
              <w:sz w:val="24"/>
              <w:szCs w:val="24"/>
              <w:lang w:val="en-US" w:eastAsia="zh-CN"/>
            </w:rPr>
            <w:t>附件1</w:t>
          </w:r>
          <w:r>
            <w:rPr>
              <w:sz w:val="24"/>
              <w:szCs w:val="24"/>
            </w:rPr>
            <w:tab/>
          </w:r>
          <w:r>
            <w:rPr>
              <w:sz w:val="24"/>
              <w:szCs w:val="24"/>
            </w:rPr>
            <w:fldChar w:fldCharType="begin"/>
          </w:r>
          <w:r>
            <w:rPr>
              <w:sz w:val="24"/>
              <w:szCs w:val="24"/>
            </w:rPr>
            <w:instrText xml:space="preserve"> PAGEREF _Toc13065 </w:instrText>
          </w:r>
          <w:r>
            <w:rPr>
              <w:sz w:val="24"/>
              <w:szCs w:val="24"/>
            </w:rPr>
            <w:fldChar w:fldCharType="separate"/>
          </w:r>
          <w:r>
            <w:rPr>
              <w:sz w:val="24"/>
              <w:szCs w:val="24"/>
            </w:rPr>
            <w:t>19</w:t>
          </w:r>
          <w:r>
            <w:rPr>
              <w:sz w:val="24"/>
              <w:szCs w:val="24"/>
            </w:rPr>
            <w:fldChar w:fldCharType="end"/>
          </w:r>
          <w:r>
            <w:rPr>
              <w:rFonts w:ascii="仿宋" w:hAnsi="仿宋" w:eastAsia="仿宋"/>
              <w:bCs/>
              <w:kern w:val="44"/>
              <w:sz w:val="24"/>
              <w:szCs w:val="24"/>
            </w:rPr>
            <w:fldChar w:fldCharType="end"/>
          </w:r>
        </w:p>
        <w:p>
          <w:pPr>
            <w:pStyle w:val="10"/>
            <w:tabs>
              <w:tab w:val="right" w:leader="dot" w:pos="8306"/>
              <w:tab w:val="clear" w:pos="8296"/>
            </w:tabs>
            <w:rPr>
              <w:sz w:val="24"/>
              <w:szCs w:val="24"/>
            </w:rPr>
          </w:pPr>
          <w:r>
            <w:rPr>
              <w:rFonts w:ascii="仿宋" w:hAnsi="仿宋" w:eastAsia="仿宋"/>
              <w:bCs/>
              <w:kern w:val="44"/>
              <w:sz w:val="24"/>
              <w:szCs w:val="24"/>
            </w:rPr>
            <w:fldChar w:fldCharType="begin"/>
          </w:r>
          <w:r>
            <w:rPr>
              <w:rFonts w:ascii="仿宋" w:hAnsi="仿宋" w:eastAsia="仿宋"/>
              <w:bCs/>
              <w:kern w:val="44"/>
              <w:sz w:val="24"/>
              <w:szCs w:val="24"/>
            </w:rPr>
            <w:instrText xml:space="preserve"> HYPERLINK \l _Toc9840 </w:instrText>
          </w:r>
          <w:r>
            <w:rPr>
              <w:rFonts w:ascii="仿宋" w:hAnsi="仿宋" w:eastAsia="仿宋"/>
              <w:bCs/>
              <w:kern w:val="44"/>
              <w:sz w:val="24"/>
              <w:szCs w:val="24"/>
            </w:rPr>
            <w:fldChar w:fldCharType="separate"/>
          </w:r>
          <w:r>
            <w:rPr>
              <w:rFonts w:hint="eastAsia" w:eastAsia="仿宋_GB2312"/>
              <w:sz w:val="24"/>
              <w:szCs w:val="24"/>
              <w:lang w:val="en-US" w:eastAsia="zh-CN"/>
            </w:rPr>
            <w:t>附件2</w:t>
          </w:r>
          <w:r>
            <w:rPr>
              <w:sz w:val="24"/>
              <w:szCs w:val="24"/>
            </w:rPr>
            <w:tab/>
          </w:r>
          <w:r>
            <w:rPr>
              <w:sz w:val="24"/>
              <w:szCs w:val="24"/>
            </w:rPr>
            <w:fldChar w:fldCharType="begin"/>
          </w:r>
          <w:r>
            <w:rPr>
              <w:sz w:val="24"/>
              <w:szCs w:val="24"/>
            </w:rPr>
            <w:instrText xml:space="preserve"> PAGEREF _Toc9840 </w:instrText>
          </w:r>
          <w:r>
            <w:rPr>
              <w:sz w:val="24"/>
              <w:szCs w:val="24"/>
            </w:rPr>
            <w:fldChar w:fldCharType="separate"/>
          </w:r>
          <w:r>
            <w:rPr>
              <w:sz w:val="24"/>
              <w:szCs w:val="24"/>
            </w:rPr>
            <w:t>70</w:t>
          </w:r>
          <w:r>
            <w:rPr>
              <w:sz w:val="24"/>
              <w:szCs w:val="24"/>
            </w:rPr>
            <w:fldChar w:fldCharType="end"/>
          </w:r>
          <w:r>
            <w:rPr>
              <w:rFonts w:ascii="仿宋" w:hAnsi="仿宋" w:eastAsia="仿宋"/>
              <w:bCs/>
              <w:kern w:val="44"/>
              <w:sz w:val="24"/>
              <w:szCs w:val="24"/>
            </w:rPr>
            <w:fldChar w:fldCharType="end"/>
          </w:r>
        </w:p>
        <w:p>
          <w:pPr>
            <w:pStyle w:val="14"/>
            <w:tabs>
              <w:tab w:val="right" w:leader="dot" w:pos="8306"/>
              <w:tab w:val="clear" w:pos="8296"/>
            </w:tabs>
            <w:rPr>
              <w:sz w:val="24"/>
              <w:szCs w:val="24"/>
            </w:rPr>
          </w:pPr>
          <w:r>
            <w:rPr>
              <w:rFonts w:ascii="仿宋" w:hAnsi="仿宋" w:eastAsia="仿宋"/>
              <w:bCs/>
              <w:kern w:val="44"/>
              <w:sz w:val="24"/>
              <w:szCs w:val="24"/>
            </w:rPr>
            <w:fldChar w:fldCharType="begin"/>
          </w:r>
          <w:r>
            <w:rPr>
              <w:rFonts w:ascii="仿宋" w:hAnsi="仿宋" w:eastAsia="仿宋"/>
              <w:bCs/>
              <w:kern w:val="44"/>
              <w:sz w:val="24"/>
              <w:szCs w:val="24"/>
            </w:rPr>
            <w:instrText xml:space="preserve"> HYPERLINK \l _Toc22026 </w:instrText>
          </w:r>
          <w:r>
            <w:rPr>
              <w:rFonts w:ascii="仿宋" w:hAnsi="仿宋" w:eastAsia="仿宋"/>
              <w:bCs/>
              <w:kern w:val="44"/>
              <w:sz w:val="24"/>
              <w:szCs w:val="24"/>
            </w:rPr>
            <w:fldChar w:fldCharType="separate"/>
          </w:r>
          <w:r>
            <w:rPr>
              <w:rFonts w:hint="eastAsia" w:ascii="黑体" w:hAnsi="黑体" w:eastAsia="黑体"/>
              <w:bCs w:val="0"/>
              <w:sz w:val="24"/>
              <w:szCs w:val="24"/>
            </w:rPr>
            <w:t>第五部分 附表</w:t>
          </w:r>
          <w:r>
            <w:rPr>
              <w:sz w:val="24"/>
              <w:szCs w:val="24"/>
            </w:rPr>
            <w:tab/>
          </w:r>
          <w:r>
            <w:rPr>
              <w:sz w:val="24"/>
              <w:szCs w:val="24"/>
            </w:rPr>
            <w:fldChar w:fldCharType="begin"/>
          </w:r>
          <w:r>
            <w:rPr>
              <w:sz w:val="24"/>
              <w:szCs w:val="24"/>
            </w:rPr>
            <w:instrText xml:space="preserve"> PAGEREF _Toc22026 </w:instrText>
          </w:r>
          <w:r>
            <w:rPr>
              <w:sz w:val="24"/>
              <w:szCs w:val="24"/>
            </w:rPr>
            <w:fldChar w:fldCharType="separate"/>
          </w:r>
          <w:r>
            <w:rPr>
              <w:sz w:val="24"/>
              <w:szCs w:val="24"/>
            </w:rPr>
            <w:t>91</w:t>
          </w:r>
          <w:r>
            <w:rPr>
              <w:sz w:val="24"/>
              <w:szCs w:val="24"/>
            </w:rPr>
            <w:fldChar w:fldCharType="end"/>
          </w:r>
          <w:r>
            <w:rPr>
              <w:rFonts w:ascii="仿宋" w:hAnsi="仿宋" w:eastAsia="仿宋"/>
              <w:bCs/>
              <w:kern w:val="44"/>
              <w:sz w:val="24"/>
              <w:szCs w:val="24"/>
            </w:rPr>
            <w:fldChar w:fldCharType="end"/>
          </w:r>
        </w:p>
        <w:p>
          <w:pPr>
            <w:pStyle w:val="15"/>
            <w:tabs>
              <w:tab w:val="right" w:leader="dot" w:pos="8306"/>
              <w:tab w:val="clear" w:pos="8296"/>
            </w:tabs>
            <w:rPr>
              <w:sz w:val="24"/>
              <w:szCs w:val="24"/>
            </w:rPr>
          </w:pPr>
          <w:r>
            <w:rPr>
              <w:rFonts w:ascii="仿宋" w:hAnsi="仿宋" w:eastAsia="仿宋"/>
              <w:bCs/>
              <w:kern w:val="44"/>
              <w:sz w:val="24"/>
              <w:szCs w:val="24"/>
            </w:rPr>
            <w:fldChar w:fldCharType="begin"/>
          </w:r>
          <w:r>
            <w:rPr>
              <w:rFonts w:ascii="仿宋" w:hAnsi="仿宋" w:eastAsia="仿宋"/>
              <w:bCs/>
              <w:kern w:val="44"/>
              <w:sz w:val="24"/>
              <w:szCs w:val="24"/>
            </w:rPr>
            <w:instrText xml:space="preserve"> HYPERLINK \l _Toc12352 </w:instrText>
          </w:r>
          <w:r>
            <w:rPr>
              <w:rFonts w:ascii="仿宋" w:hAnsi="仿宋" w:eastAsia="仿宋"/>
              <w:bCs/>
              <w:kern w:val="44"/>
              <w:sz w:val="24"/>
              <w:szCs w:val="24"/>
            </w:rPr>
            <w:fldChar w:fldCharType="separate"/>
          </w:r>
          <w:r>
            <w:rPr>
              <w:rFonts w:hint="eastAsia" w:ascii="仿宋" w:hAnsi="仿宋" w:eastAsia="仿宋"/>
              <w:sz w:val="24"/>
              <w:szCs w:val="24"/>
            </w:rPr>
            <w:t>一、收</w:t>
          </w:r>
          <w:r>
            <w:rPr>
              <w:rFonts w:hint="eastAsia" w:ascii="仿宋" w:hAnsi="仿宋" w:eastAsia="仿宋"/>
              <w:bCs w:val="0"/>
              <w:sz w:val="24"/>
              <w:szCs w:val="24"/>
            </w:rPr>
            <w:t>入支出决算总表</w:t>
          </w:r>
          <w:r>
            <w:rPr>
              <w:sz w:val="24"/>
              <w:szCs w:val="24"/>
            </w:rPr>
            <w:tab/>
          </w:r>
          <w:r>
            <w:rPr>
              <w:sz w:val="24"/>
              <w:szCs w:val="24"/>
            </w:rPr>
            <w:fldChar w:fldCharType="begin"/>
          </w:r>
          <w:r>
            <w:rPr>
              <w:sz w:val="24"/>
              <w:szCs w:val="24"/>
            </w:rPr>
            <w:instrText xml:space="preserve"> PAGEREF _Toc12352 </w:instrText>
          </w:r>
          <w:r>
            <w:rPr>
              <w:sz w:val="24"/>
              <w:szCs w:val="24"/>
            </w:rPr>
            <w:fldChar w:fldCharType="separate"/>
          </w:r>
          <w:r>
            <w:rPr>
              <w:sz w:val="24"/>
              <w:szCs w:val="24"/>
            </w:rPr>
            <w:t>91</w:t>
          </w:r>
          <w:r>
            <w:rPr>
              <w:sz w:val="24"/>
              <w:szCs w:val="24"/>
            </w:rPr>
            <w:fldChar w:fldCharType="end"/>
          </w:r>
          <w:r>
            <w:rPr>
              <w:rFonts w:ascii="仿宋" w:hAnsi="仿宋" w:eastAsia="仿宋"/>
              <w:bCs/>
              <w:kern w:val="44"/>
              <w:sz w:val="24"/>
              <w:szCs w:val="24"/>
            </w:rPr>
            <w:fldChar w:fldCharType="end"/>
          </w:r>
        </w:p>
        <w:p>
          <w:pPr>
            <w:pStyle w:val="15"/>
            <w:tabs>
              <w:tab w:val="right" w:leader="dot" w:pos="8306"/>
              <w:tab w:val="clear" w:pos="8296"/>
            </w:tabs>
            <w:rPr>
              <w:sz w:val="24"/>
              <w:szCs w:val="24"/>
            </w:rPr>
          </w:pPr>
          <w:r>
            <w:rPr>
              <w:rFonts w:ascii="仿宋" w:hAnsi="仿宋" w:eastAsia="仿宋"/>
              <w:bCs/>
              <w:kern w:val="44"/>
              <w:sz w:val="24"/>
              <w:szCs w:val="24"/>
            </w:rPr>
            <w:fldChar w:fldCharType="begin"/>
          </w:r>
          <w:r>
            <w:rPr>
              <w:rFonts w:ascii="仿宋" w:hAnsi="仿宋" w:eastAsia="仿宋"/>
              <w:bCs/>
              <w:kern w:val="44"/>
              <w:sz w:val="24"/>
              <w:szCs w:val="24"/>
            </w:rPr>
            <w:instrText xml:space="preserve"> HYPERLINK \l _Toc4931 </w:instrText>
          </w:r>
          <w:r>
            <w:rPr>
              <w:rFonts w:ascii="仿宋" w:hAnsi="仿宋" w:eastAsia="仿宋"/>
              <w:bCs/>
              <w:kern w:val="44"/>
              <w:sz w:val="24"/>
              <w:szCs w:val="24"/>
            </w:rPr>
            <w:fldChar w:fldCharType="separate"/>
          </w:r>
          <w:r>
            <w:rPr>
              <w:rFonts w:hint="eastAsia" w:ascii="仿宋" w:hAnsi="仿宋" w:eastAsia="仿宋"/>
              <w:sz w:val="24"/>
              <w:szCs w:val="24"/>
            </w:rPr>
            <w:t>二、收</w:t>
          </w:r>
          <w:r>
            <w:rPr>
              <w:rFonts w:hint="eastAsia" w:ascii="仿宋" w:hAnsi="仿宋" w:eastAsia="仿宋"/>
              <w:bCs w:val="0"/>
              <w:sz w:val="24"/>
              <w:szCs w:val="24"/>
            </w:rPr>
            <w:t>入决算表</w:t>
          </w:r>
          <w:r>
            <w:rPr>
              <w:sz w:val="24"/>
              <w:szCs w:val="24"/>
            </w:rPr>
            <w:tab/>
          </w:r>
          <w:r>
            <w:rPr>
              <w:sz w:val="24"/>
              <w:szCs w:val="24"/>
            </w:rPr>
            <w:fldChar w:fldCharType="begin"/>
          </w:r>
          <w:r>
            <w:rPr>
              <w:sz w:val="24"/>
              <w:szCs w:val="24"/>
            </w:rPr>
            <w:instrText xml:space="preserve"> PAGEREF _Toc4931 </w:instrText>
          </w:r>
          <w:r>
            <w:rPr>
              <w:sz w:val="24"/>
              <w:szCs w:val="24"/>
            </w:rPr>
            <w:fldChar w:fldCharType="separate"/>
          </w:r>
          <w:r>
            <w:rPr>
              <w:sz w:val="24"/>
              <w:szCs w:val="24"/>
            </w:rPr>
            <w:t>91</w:t>
          </w:r>
          <w:r>
            <w:rPr>
              <w:sz w:val="24"/>
              <w:szCs w:val="24"/>
            </w:rPr>
            <w:fldChar w:fldCharType="end"/>
          </w:r>
          <w:r>
            <w:rPr>
              <w:rFonts w:ascii="仿宋" w:hAnsi="仿宋" w:eastAsia="仿宋"/>
              <w:bCs/>
              <w:kern w:val="44"/>
              <w:sz w:val="24"/>
              <w:szCs w:val="24"/>
            </w:rPr>
            <w:fldChar w:fldCharType="end"/>
          </w:r>
        </w:p>
        <w:p>
          <w:pPr>
            <w:pStyle w:val="15"/>
            <w:tabs>
              <w:tab w:val="right" w:leader="dot" w:pos="8306"/>
              <w:tab w:val="clear" w:pos="8296"/>
            </w:tabs>
            <w:rPr>
              <w:sz w:val="24"/>
              <w:szCs w:val="24"/>
            </w:rPr>
          </w:pPr>
          <w:r>
            <w:rPr>
              <w:rFonts w:ascii="仿宋" w:hAnsi="仿宋" w:eastAsia="仿宋"/>
              <w:bCs/>
              <w:kern w:val="44"/>
              <w:sz w:val="24"/>
              <w:szCs w:val="24"/>
            </w:rPr>
            <w:fldChar w:fldCharType="begin"/>
          </w:r>
          <w:r>
            <w:rPr>
              <w:rFonts w:ascii="仿宋" w:hAnsi="仿宋" w:eastAsia="仿宋"/>
              <w:bCs/>
              <w:kern w:val="44"/>
              <w:sz w:val="24"/>
              <w:szCs w:val="24"/>
            </w:rPr>
            <w:instrText xml:space="preserve"> HYPERLINK \l _Toc20281 </w:instrText>
          </w:r>
          <w:r>
            <w:rPr>
              <w:rFonts w:ascii="仿宋" w:hAnsi="仿宋" w:eastAsia="仿宋"/>
              <w:bCs/>
              <w:kern w:val="44"/>
              <w:sz w:val="24"/>
              <w:szCs w:val="24"/>
            </w:rPr>
            <w:fldChar w:fldCharType="separate"/>
          </w:r>
          <w:r>
            <w:rPr>
              <w:rFonts w:hint="eastAsia" w:ascii="仿宋" w:hAnsi="仿宋" w:eastAsia="仿宋"/>
              <w:bCs w:val="0"/>
              <w:sz w:val="24"/>
              <w:szCs w:val="24"/>
            </w:rPr>
            <w:t>三、</w:t>
          </w:r>
          <w:r>
            <w:rPr>
              <w:rFonts w:hint="eastAsia" w:ascii="仿宋" w:hAnsi="仿宋" w:eastAsia="仿宋"/>
              <w:sz w:val="24"/>
              <w:szCs w:val="24"/>
            </w:rPr>
            <w:t>支</w:t>
          </w:r>
          <w:r>
            <w:rPr>
              <w:rFonts w:hint="eastAsia" w:ascii="仿宋" w:hAnsi="仿宋" w:eastAsia="仿宋"/>
              <w:bCs w:val="0"/>
              <w:sz w:val="24"/>
              <w:szCs w:val="24"/>
            </w:rPr>
            <w:t>出决算表</w:t>
          </w:r>
          <w:r>
            <w:rPr>
              <w:sz w:val="24"/>
              <w:szCs w:val="24"/>
            </w:rPr>
            <w:tab/>
          </w:r>
          <w:r>
            <w:rPr>
              <w:sz w:val="24"/>
              <w:szCs w:val="24"/>
            </w:rPr>
            <w:fldChar w:fldCharType="begin"/>
          </w:r>
          <w:r>
            <w:rPr>
              <w:sz w:val="24"/>
              <w:szCs w:val="24"/>
            </w:rPr>
            <w:instrText xml:space="preserve"> PAGEREF _Toc20281 </w:instrText>
          </w:r>
          <w:r>
            <w:rPr>
              <w:sz w:val="24"/>
              <w:szCs w:val="24"/>
            </w:rPr>
            <w:fldChar w:fldCharType="separate"/>
          </w:r>
          <w:r>
            <w:rPr>
              <w:sz w:val="24"/>
              <w:szCs w:val="24"/>
            </w:rPr>
            <w:t>91</w:t>
          </w:r>
          <w:r>
            <w:rPr>
              <w:sz w:val="24"/>
              <w:szCs w:val="24"/>
            </w:rPr>
            <w:fldChar w:fldCharType="end"/>
          </w:r>
          <w:r>
            <w:rPr>
              <w:rFonts w:ascii="仿宋" w:hAnsi="仿宋" w:eastAsia="仿宋"/>
              <w:bCs/>
              <w:kern w:val="44"/>
              <w:sz w:val="24"/>
              <w:szCs w:val="24"/>
            </w:rPr>
            <w:fldChar w:fldCharType="end"/>
          </w:r>
        </w:p>
        <w:p>
          <w:pPr>
            <w:pStyle w:val="15"/>
            <w:tabs>
              <w:tab w:val="right" w:leader="dot" w:pos="8306"/>
              <w:tab w:val="clear" w:pos="8296"/>
            </w:tabs>
            <w:rPr>
              <w:sz w:val="24"/>
              <w:szCs w:val="24"/>
            </w:rPr>
          </w:pPr>
          <w:r>
            <w:rPr>
              <w:rFonts w:ascii="仿宋" w:hAnsi="仿宋" w:eastAsia="仿宋"/>
              <w:bCs/>
              <w:kern w:val="44"/>
              <w:sz w:val="24"/>
              <w:szCs w:val="24"/>
            </w:rPr>
            <w:fldChar w:fldCharType="begin"/>
          </w:r>
          <w:r>
            <w:rPr>
              <w:rFonts w:ascii="仿宋" w:hAnsi="仿宋" w:eastAsia="仿宋"/>
              <w:bCs/>
              <w:kern w:val="44"/>
              <w:sz w:val="24"/>
              <w:szCs w:val="24"/>
            </w:rPr>
            <w:instrText xml:space="preserve"> HYPERLINK \l _Toc32393 </w:instrText>
          </w:r>
          <w:r>
            <w:rPr>
              <w:rFonts w:ascii="仿宋" w:hAnsi="仿宋" w:eastAsia="仿宋"/>
              <w:bCs/>
              <w:kern w:val="44"/>
              <w:sz w:val="24"/>
              <w:szCs w:val="24"/>
            </w:rPr>
            <w:fldChar w:fldCharType="separate"/>
          </w:r>
          <w:r>
            <w:rPr>
              <w:rFonts w:hint="eastAsia" w:ascii="仿宋" w:hAnsi="仿宋" w:eastAsia="仿宋"/>
              <w:bCs w:val="0"/>
              <w:sz w:val="24"/>
              <w:szCs w:val="24"/>
            </w:rPr>
            <w:t>四、</w:t>
          </w:r>
          <w:r>
            <w:rPr>
              <w:rFonts w:hint="eastAsia" w:ascii="仿宋" w:hAnsi="仿宋" w:eastAsia="仿宋"/>
              <w:sz w:val="24"/>
              <w:szCs w:val="24"/>
            </w:rPr>
            <w:t>财</w:t>
          </w:r>
          <w:r>
            <w:rPr>
              <w:rFonts w:hint="eastAsia" w:ascii="仿宋" w:hAnsi="仿宋" w:eastAsia="仿宋"/>
              <w:bCs w:val="0"/>
              <w:sz w:val="24"/>
              <w:szCs w:val="24"/>
            </w:rPr>
            <w:t>政拨款收入支出决算总表</w:t>
          </w:r>
          <w:r>
            <w:rPr>
              <w:sz w:val="24"/>
              <w:szCs w:val="24"/>
            </w:rPr>
            <w:tab/>
          </w:r>
          <w:r>
            <w:rPr>
              <w:sz w:val="24"/>
              <w:szCs w:val="24"/>
            </w:rPr>
            <w:fldChar w:fldCharType="begin"/>
          </w:r>
          <w:r>
            <w:rPr>
              <w:sz w:val="24"/>
              <w:szCs w:val="24"/>
            </w:rPr>
            <w:instrText xml:space="preserve"> PAGEREF _Toc32393 </w:instrText>
          </w:r>
          <w:r>
            <w:rPr>
              <w:sz w:val="24"/>
              <w:szCs w:val="24"/>
            </w:rPr>
            <w:fldChar w:fldCharType="separate"/>
          </w:r>
          <w:r>
            <w:rPr>
              <w:sz w:val="24"/>
              <w:szCs w:val="24"/>
            </w:rPr>
            <w:t>91</w:t>
          </w:r>
          <w:r>
            <w:rPr>
              <w:sz w:val="24"/>
              <w:szCs w:val="24"/>
            </w:rPr>
            <w:fldChar w:fldCharType="end"/>
          </w:r>
          <w:r>
            <w:rPr>
              <w:rFonts w:ascii="仿宋" w:hAnsi="仿宋" w:eastAsia="仿宋"/>
              <w:bCs/>
              <w:kern w:val="44"/>
              <w:sz w:val="24"/>
              <w:szCs w:val="24"/>
            </w:rPr>
            <w:fldChar w:fldCharType="end"/>
          </w:r>
        </w:p>
        <w:p>
          <w:pPr>
            <w:pStyle w:val="15"/>
            <w:tabs>
              <w:tab w:val="right" w:leader="dot" w:pos="8306"/>
              <w:tab w:val="clear" w:pos="8296"/>
            </w:tabs>
            <w:rPr>
              <w:sz w:val="24"/>
              <w:szCs w:val="24"/>
            </w:rPr>
          </w:pPr>
          <w:r>
            <w:rPr>
              <w:rFonts w:ascii="仿宋" w:hAnsi="仿宋" w:eastAsia="仿宋"/>
              <w:bCs/>
              <w:kern w:val="44"/>
              <w:sz w:val="24"/>
              <w:szCs w:val="24"/>
            </w:rPr>
            <w:fldChar w:fldCharType="begin"/>
          </w:r>
          <w:r>
            <w:rPr>
              <w:rFonts w:ascii="仿宋" w:hAnsi="仿宋" w:eastAsia="仿宋"/>
              <w:bCs/>
              <w:kern w:val="44"/>
              <w:sz w:val="24"/>
              <w:szCs w:val="24"/>
            </w:rPr>
            <w:instrText xml:space="preserve"> HYPERLINK \l _Toc20591 </w:instrText>
          </w:r>
          <w:r>
            <w:rPr>
              <w:rFonts w:ascii="仿宋" w:hAnsi="仿宋" w:eastAsia="仿宋"/>
              <w:bCs/>
              <w:kern w:val="44"/>
              <w:sz w:val="24"/>
              <w:szCs w:val="24"/>
            </w:rPr>
            <w:fldChar w:fldCharType="separate"/>
          </w:r>
          <w:r>
            <w:rPr>
              <w:rFonts w:hint="eastAsia" w:ascii="仿宋" w:hAnsi="仿宋" w:eastAsia="仿宋"/>
              <w:bCs w:val="0"/>
              <w:sz w:val="24"/>
              <w:szCs w:val="24"/>
            </w:rPr>
            <w:t>五、</w:t>
          </w:r>
          <w:r>
            <w:rPr>
              <w:rFonts w:hint="eastAsia" w:ascii="仿宋" w:hAnsi="仿宋" w:eastAsia="仿宋"/>
              <w:sz w:val="24"/>
              <w:szCs w:val="24"/>
            </w:rPr>
            <w:t>财</w:t>
          </w:r>
          <w:r>
            <w:rPr>
              <w:rFonts w:hint="eastAsia" w:ascii="仿宋" w:hAnsi="仿宋" w:eastAsia="仿宋"/>
              <w:bCs w:val="0"/>
              <w:sz w:val="24"/>
              <w:szCs w:val="24"/>
            </w:rPr>
            <w:t>政拨款支出决算明细表</w:t>
          </w:r>
          <w:r>
            <w:rPr>
              <w:sz w:val="24"/>
              <w:szCs w:val="24"/>
            </w:rPr>
            <w:tab/>
          </w:r>
          <w:r>
            <w:rPr>
              <w:sz w:val="24"/>
              <w:szCs w:val="24"/>
            </w:rPr>
            <w:fldChar w:fldCharType="begin"/>
          </w:r>
          <w:r>
            <w:rPr>
              <w:sz w:val="24"/>
              <w:szCs w:val="24"/>
            </w:rPr>
            <w:instrText xml:space="preserve"> PAGEREF _Toc20591 </w:instrText>
          </w:r>
          <w:r>
            <w:rPr>
              <w:sz w:val="24"/>
              <w:szCs w:val="24"/>
            </w:rPr>
            <w:fldChar w:fldCharType="separate"/>
          </w:r>
          <w:r>
            <w:rPr>
              <w:sz w:val="24"/>
              <w:szCs w:val="24"/>
            </w:rPr>
            <w:t>91</w:t>
          </w:r>
          <w:r>
            <w:rPr>
              <w:sz w:val="24"/>
              <w:szCs w:val="24"/>
            </w:rPr>
            <w:fldChar w:fldCharType="end"/>
          </w:r>
          <w:r>
            <w:rPr>
              <w:rFonts w:ascii="仿宋" w:hAnsi="仿宋" w:eastAsia="仿宋"/>
              <w:bCs/>
              <w:kern w:val="44"/>
              <w:sz w:val="24"/>
              <w:szCs w:val="24"/>
            </w:rPr>
            <w:fldChar w:fldCharType="end"/>
          </w:r>
        </w:p>
        <w:p>
          <w:pPr>
            <w:pStyle w:val="15"/>
            <w:tabs>
              <w:tab w:val="right" w:leader="dot" w:pos="8306"/>
              <w:tab w:val="clear" w:pos="8296"/>
            </w:tabs>
            <w:rPr>
              <w:sz w:val="24"/>
              <w:szCs w:val="24"/>
            </w:rPr>
          </w:pPr>
          <w:r>
            <w:rPr>
              <w:rFonts w:ascii="仿宋" w:hAnsi="仿宋" w:eastAsia="仿宋"/>
              <w:bCs/>
              <w:kern w:val="44"/>
              <w:sz w:val="24"/>
              <w:szCs w:val="24"/>
            </w:rPr>
            <w:fldChar w:fldCharType="begin"/>
          </w:r>
          <w:r>
            <w:rPr>
              <w:rFonts w:ascii="仿宋" w:hAnsi="仿宋" w:eastAsia="仿宋"/>
              <w:bCs/>
              <w:kern w:val="44"/>
              <w:sz w:val="24"/>
              <w:szCs w:val="24"/>
            </w:rPr>
            <w:instrText xml:space="preserve"> HYPERLINK \l _Toc24301 </w:instrText>
          </w:r>
          <w:r>
            <w:rPr>
              <w:rFonts w:ascii="仿宋" w:hAnsi="仿宋" w:eastAsia="仿宋"/>
              <w:bCs/>
              <w:kern w:val="44"/>
              <w:sz w:val="24"/>
              <w:szCs w:val="24"/>
            </w:rPr>
            <w:fldChar w:fldCharType="separate"/>
          </w:r>
          <w:r>
            <w:rPr>
              <w:rFonts w:hint="eastAsia" w:ascii="仿宋" w:hAnsi="仿宋" w:eastAsia="仿宋"/>
              <w:bCs w:val="0"/>
              <w:sz w:val="24"/>
              <w:szCs w:val="24"/>
            </w:rPr>
            <w:t>六、</w:t>
          </w:r>
          <w:r>
            <w:rPr>
              <w:rFonts w:hint="eastAsia" w:ascii="仿宋" w:hAnsi="仿宋" w:eastAsia="仿宋"/>
              <w:sz w:val="24"/>
              <w:szCs w:val="24"/>
            </w:rPr>
            <w:t>一</w:t>
          </w:r>
          <w:r>
            <w:rPr>
              <w:rFonts w:hint="eastAsia" w:ascii="仿宋" w:hAnsi="仿宋" w:eastAsia="仿宋"/>
              <w:bCs w:val="0"/>
              <w:sz w:val="24"/>
              <w:szCs w:val="24"/>
            </w:rPr>
            <w:t>般公共预算财政拨款支出决算表</w:t>
          </w:r>
          <w:r>
            <w:rPr>
              <w:sz w:val="24"/>
              <w:szCs w:val="24"/>
            </w:rPr>
            <w:tab/>
          </w:r>
          <w:r>
            <w:rPr>
              <w:sz w:val="24"/>
              <w:szCs w:val="24"/>
            </w:rPr>
            <w:fldChar w:fldCharType="begin"/>
          </w:r>
          <w:r>
            <w:rPr>
              <w:sz w:val="24"/>
              <w:szCs w:val="24"/>
            </w:rPr>
            <w:instrText xml:space="preserve"> PAGEREF _Toc24301 </w:instrText>
          </w:r>
          <w:r>
            <w:rPr>
              <w:sz w:val="24"/>
              <w:szCs w:val="24"/>
            </w:rPr>
            <w:fldChar w:fldCharType="separate"/>
          </w:r>
          <w:r>
            <w:rPr>
              <w:sz w:val="24"/>
              <w:szCs w:val="24"/>
            </w:rPr>
            <w:t>91</w:t>
          </w:r>
          <w:r>
            <w:rPr>
              <w:sz w:val="24"/>
              <w:szCs w:val="24"/>
            </w:rPr>
            <w:fldChar w:fldCharType="end"/>
          </w:r>
          <w:r>
            <w:rPr>
              <w:rFonts w:ascii="仿宋" w:hAnsi="仿宋" w:eastAsia="仿宋"/>
              <w:bCs/>
              <w:kern w:val="44"/>
              <w:sz w:val="24"/>
              <w:szCs w:val="24"/>
            </w:rPr>
            <w:fldChar w:fldCharType="end"/>
          </w:r>
        </w:p>
        <w:p>
          <w:pPr>
            <w:pStyle w:val="15"/>
            <w:tabs>
              <w:tab w:val="right" w:leader="dot" w:pos="8306"/>
              <w:tab w:val="clear" w:pos="8296"/>
            </w:tabs>
            <w:rPr>
              <w:sz w:val="24"/>
              <w:szCs w:val="24"/>
            </w:rPr>
          </w:pPr>
          <w:r>
            <w:rPr>
              <w:rFonts w:ascii="仿宋" w:hAnsi="仿宋" w:eastAsia="仿宋"/>
              <w:bCs/>
              <w:kern w:val="44"/>
              <w:sz w:val="24"/>
              <w:szCs w:val="24"/>
            </w:rPr>
            <w:fldChar w:fldCharType="begin"/>
          </w:r>
          <w:r>
            <w:rPr>
              <w:rFonts w:ascii="仿宋" w:hAnsi="仿宋" w:eastAsia="仿宋"/>
              <w:bCs/>
              <w:kern w:val="44"/>
              <w:sz w:val="24"/>
              <w:szCs w:val="24"/>
            </w:rPr>
            <w:instrText xml:space="preserve"> HYPERLINK \l _Toc31696 </w:instrText>
          </w:r>
          <w:r>
            <w:rPr>
              <w:rFonts w:ascii="仿宋" w:hAnsi="仿宋" w:eastAsia="仿宋"/>
              <w:bCs/>
              <w:kern w:val="44"/>
              <w:sz w:val="24"/>
              <w:szCs w:val="24"/>
            </w:rPr>
            <w:fldChar w:fldCharType="separate"/>
          </w:r>
          <w:r>
            <w:rPr>
              <w:rFonts w:hint="eastAsia" w:ascii="仿宋" w:hAnsi="仿宋" w:eastAsia="仿宋"/>
              <w:bCs w:val="0"/>
              <w:sz w:val="24"/>
              <w:szCs w:val="24"/>
            </w:rPr>
            <w:t>七、</w:t>
          </w:r>
          <w:r>
            <w:rPr>
              <w:rFonts w:hint="eastAsia" w:ascii="仿宋" w:hAnsi="仿宋" w:eastAsia="仿宋"/>
              <w:sz w:val="24"/>
              <w:szCs w:val="24"/>
            </w:rPr>
            <w:t>一</w:t>
          </w:r>
          <w:r>
            <w:rPr>
              <w:rFonts w:hint="eastAsia" w:ascii="仿宋" w:hAnsi="仿宋" w:eastAsia="仿宋"/>
              <w:bCs w:val="0"/>
              <w:sz w:val="24"/>
              <w:szCs w:val="24"/>
            </w:rPr>
            <w:t>般公共预算财政拨款支出决算明细表</w:t>
          </w:r>
          <w:r>
            <w:rPr>
              <w:sz w:val="24"/>
              <w:szCs w:val="24"/>
            </w:rPr>
            <w:tab/>
          </w:r>
          <w:r>
            <w:rPr>
              <w:sz w:val="24"/>
              <w:szCs w:val="24"/>
            </w:rPr>
            <w:fldChar w:fldCharType="begin"/>
          </w:r>
          <w:r>
            <w:rPr>
              <w:sz w:val="24"/>
              <w:szCs w:val="24"/>
            </w:rPr>
            <w:instrText xml:space="preserve"> PAGEREF _Toc31696 </w:instrText>
          </w:r>
          <w:r>
            <w:rPr>
              <w:sz w:val="24"/>
              <w:szCs w:val="24"/>
            </w:rPr>
            <w:fldChar w:fldCharType="separate"/>
          </w:r>
          <w:r>
            <w:rPr>
              <w:sz w:val="24"/>
              <w:szCs w:val="24"/>
            </w:rPr>
            <w:t>91</w:t>
          </w:r>
          <w:r>
            <w:rPr>
              <w:sz w:val="24"/>
              <w:szCs w:val="24"/>
            </w:rPr>
            <w:fldChar w:fldCharType="end"/>
          </w:r>
          <w:r>
            <w:rPr>
              <w:rFonts w:ascii="仿宋" w:hAnsi="仿宋" w:eastAsia="仿宋"/>
              <w:bCs/>
              <w:kern w:val="44"/>
              <w:sz w:val="24"/>
              <w:szCs w:val="24"/>
            </w:rPr>
            <w:fldChar w:fldCharType="end"/>
          </w:r>
        </w:p>
        <w:p>
          <w:pPr>
            <w:pStyle w:val="15"/>
            <w:tabs>
              <w:tab w:val="right" w:leader="dot" w:pos="8306"/>
              <w:tab w:val="clear" w:pos="8296"/>
            </w:tabs>
            <w:rPr>
              <w:sz w:val="24"/>
              <w:szCs w:val="24"/>
            </w:rPr>
          </w:pPr>
          <w:r>
            <w:rPr>
              <w:rFonts w:ascii="仿宋" w:hAnsi="仿宋" w:eastAsia="仿宋"/>
              <w:bCs/>
              <w:kern w:val="44"/>
              <w:sz w:val="24"/>
              <w:szCs w:val="24"/>
            </w:rPr>
            <w:fldChar w:fldCharType="begin"/>
          </w:r>
          <w:r>
            <w:rPr>
              <w:rFonts w:ascii="仿宋" w:hAnsi="仿宋" w:eastAsia="仿宋"/>
              <w:bCs/>
              <w:kern w:val="44"/>
              <w:sz w:val="24"/>
              <w:szCs w:val="24"/>
            </w:rPr>
            <w:instrText xml:space="preserve"> HYPERLINK \l _Toc3388 </w:instrText>
          </w:r>
          <w:r>
            <w:rPr>
              <w:rFonts w:ascii="仿宋" w:hAnsi="仿宋" w:eastAsia="仿宋"/>
              <w:bCs/>
              <w:kern w:val="44"/>
              <w:sz w:val="24"/>
              <w:szCs w:val="24"/>
            </w:rPr>
            <w:fldChar w:fldCharType="separate"/>
          </w:r>
          <w:r>
            <w:rPr>
              <w:rFonts w:hint="eastAsia" w:ascii="仿宋" w:hAnsi="仿宋" w:eastAsia="仿宋"/>
              <w:bCs w:val="0"/>
              <w:sz w:val="24"/>
              <w:szCs w:val="24"/>
            </w:rPr>
            <w:t>八、</w:t>
          </w:r>
          <w:r>
            <w:rPr>
              <w:rFonts w:hint="eastAsia" w:ascii="仿宋" w:hAnsi="仿宋" w:eastAsia="仿宋"/>
              <w:sz w:val="24"/>
              <w:szCs w:val="24"/>
            </w:rPr>
            <w:t>一</w:t>
          </w:r>
          <w:r>
            <w:rPr>
              <w:rFonts w:hint="eastAsia" w:ascii="仿宋" w:hAnsi="仿宋" w:eastAsia="仿宋"/>
              <w:bCs w:val="0"/>
              <w:sz w:val="24"/>
              <w:szCs w:val="24"/>
            </w:rPr>
            <w:t>般公共预算财政拨款基本支出决算表</w:t>
          </w:r>
          <w:r>
            <w:rPr>
              <w:sz w:val="24"/>
              <w:szCs w:val="24"/>
            </w:rPr>
            <w:tab/>
          </w:r>
          <w:r>
            <w:rPr>
              <w:sz w:val="24"/>
              <w:szCs w:val="24"/>
            </w:rPr>
            <w:fldChar w:fldCharType="begin"/>
          </w:r>
          <w:r>
            <w:rPr>
              <w:sz w:val="24"/>
              <w:szCs w:val="24"/>
            </w:rPr>
            <w:instrText xml:space="preserve"> PAGEREF _Toc3388 </w:instrText>
          </w:r>
          <w:r>
            <w:rPr>
              <w:sz w:val="24"/>
              <w:szCs w:val="24"/>
            </w:rPr>
            <w:fldChar w:fldCharType="separate"/>
          </w:r>
          <w:r>
            <w:rPr>
              <w:sz w:val="24"/>
              <w:szCs w:val="24"/>
            </w:rPr>
            <w:t>91</w:t>
          </w:r>
          <w:r>
            <w:rPr>
              <w:sz w:val="24"/>
              <w:szCs w:val="24"/>
            </w:rPr>
            <w:fldChar w:fldCharType="end"/>
          </w:r>
          <w:r>
            <w:rPr>
              <w:rFonts w:ascii="仿宋" w:hAnsi="仿宋" w:eastAsia="仿宋"/>
              <w:bCs/>
              <w:kern w:val="44"/>
              <w:sz w:val="24"/>
              <w:szCs w:val="24"/>
            </w:rPr>
            <w:fldChar w:fldCharType="end"/>
          </w:r>
        </w:p>
        <w:p>
          <w:pPr>
            <w:pStyle w:val="15"/>
            <w:tabs>
              <w:tab w:val="right" w:leader="dot" w:pos="8306"/>
              <w:tab w:val="clear" w:pos="8296"/>
            </w:tabs>
            <w:rPr>
              <w:sz w:val="24"/>
              <w:szCs w:val="24"/>
            </w:rPr>
          </w:pPr>
          <w:r>
            <w:rPr>
              <w:rFonts w:ascii="仿宋" w:hAnsi="仿宋" w:eastAsia="仿宋"/>
              <w:bCs/>
              <w:kern w:val="44"/>
              <w:sz w:val="24"/>
              <w:szCs w:val="24"/>
            </w:rPr>
            <w:fldChar w:fldCharType="begin"/>
          </w:r>
          <w:r>
            <w:rPr>
              <w:rFonts w:ascii="仿宋" w:hAnsi="仿宋" w:eastAsia="仿宋"/>
              <w:bCs/>
              <w:kern w:val="44"/>
              <w:sz w:val="24"/>
              <w:szCs w:val="24"/>
            </w:rPr>
            <w:instrText xml:space="preserve"> HYPERLINK \l _Toc7468 </w:instrText>
          </w:r>
          <w:r>
            <w:rPr>
              <w:rFonts w:ascii="仿宋" w:hAnsi="仿宋" w:eastAsia="仿宋"/>
              <w:bCs/>
              <w:kern w:val="44"/>
              <w:sz w:val="24"/>
              <w:szCs w:val="24"/>
            </w:rPr>
            <w:fldChar w:fldCharType="separate"/>
          </w:r>
          <w:r>
            <w:rPr>
              <w:rFonts w:hint="eastAsia" w:ascii="仿宋" w:hAnsi="仿宋" w:eastAsia="仿宋"/>
              <w:bCs w:val="0"/>
              <w:sz w:val="24"/>
              <w:szCs w:val="24"/>
            </w:rPr>
            <w:t>九、</w:t>
          </w:r>
          <w:r>
            <w:rPr>
              <w:rFonts w:hint="eastAsia" w:ascii="仿宋" w:hAnsi="仿宋" w:eastAsia="仿宋"/>
              <w:sz w:val="24"/>
              <w:szCs w:val="24"/>
            </w:rPr>
            <w:t>一</w:t>
          </w:r>
          <w:r>
            <w:rPr>
              <w:rFonts w:hint="eastAsia" w:ascii="仿宋" w:hAnsi="仿宋" w:eastAsia="仿宋"/>
              <w:bCs w:val="0"/>
              <w:sz w:val="24"/>
              <w:szCs w:val="24"/>
            </w:rPr>
            <w:t>般公共预算财政拨款项目支出决算表</w:t>
          </w:r>
          <w:r>
            <w:rPr>
              <w:sz w:val="24"/>
              <w:szCs w:val="24"/>
            </w:rPr>
            <w:tab/>
          </w:r>
          <w:r>
            <w:rPr>
              <w:sz w:val="24"/>
              <w:szCs w:val="24"/>
            </w:rPr>
            <w:fldChar w:fldCharType="begin"/>
          </w:r>
          <w:r>
            <w:rPr>
              <w:sz w:val="24"/>
              <w:szCs w:val="24"/>
            </w:rPr>
            <w:instrText xml:space="preserve"> PAGEREF _Toc7468 </w:instrText>
          </w:r>
          <w:r>
            <w:rPr>
              <w:sz w:val="24"/>
              <w:szCs w:val="24"/>
            </w:rPr>
            <w:fldChar w:fldCharType="separate"/>
          </w:r>
          <w:r>
            <w:rPr>
              <w:sz w:val="24"/>
              <w:szCs w:val="24"/>
            </w:rPr>
            <w:t>91</w:t>
          </w:r>
          <w:r>
            <w:rPr>
              <w:sz w:val="24"/>
              <w:szCs w:val="24"/>
            </w:rPr>
            <w:fldChar w:fldCharType="end"/>
          </w:r>
          <w:r>
            <w:rPr>
              <w:rFonts w:ascii="仿宋" w:hAnsi="仿宋" w:eastAsia="仿宋"/>
              <w:bCs/>
              <w:kern w:val="44"/>
              <w:sz w:val="24"/>
              <w:szCs w:val="24"/>
            </w:rPr>
            <w:fldChar w:fldCharType="end"/>
          </w:r>
        </w:p>
        <w:p>
          <w:pPr>
            <w:pStyle w:val="15"/>
            <w:tabs>
              <w:tab w:val="right" w:leader="dot" w:pos="8306"/>
              <w:tab w:val="clear" w:pos="8296"/>
            </w:tabs>
            <w:rPr>
              <w:sz w:val="24"/>
              <w:szCs w:val="24"/>
            </w:rPr>
          </w:pPr>
          <w:r>
            <w:rPr>
              <w:rFonts w:ascii="仿宋" w:hAnsi="仿宋" w:eastAsia="仿宋"/>
              <w:bCs/>
              <w:kern w:val="44"/>
              <w:sz w:val="24"/>
              <w:szCs w:val="24"/>
            </w:rPr>
            <w:fldChar w:fldCharType="begin"/>
          </w:r>
          <w:r>
            <w:rPr>
              <w:rFonts w:ascii="仿宋" w:hAnsi="仿宋" w:eastAsia="仿宋"/>
              <w:bCs/>
              <w:kern w:val="44"/>
              <w:sz w:val="24"/>
              <w:szCs w:val="24"/>
            </w:rPr>
            <w:instrText xml:space="preserve"> HYPERLINK \l _Toc27508 </w:instrText>
          </w:r>
          <w:r>
            <w:rPr>
              <w:rFonts w:ascii="仿宋" w:hAnsi="仿宋" w:eastAsia="仿宋"/>
              <w:bCs/>
              <w:kern w:val="44"/>
              <w:sz w:val="24"/>
              <w:szCs w:val="24"/>
            </w:rPr>
            <w:fldChar w:fldCharType="separate"/>
          </w:r>
          <w:r>
            <w:rPr>
              <w:rFonts w:hint="eastAsia" w:ascii="仿宋" w:hAnsi="仿宋" w:eastAsia="仿宋"/>
              <w:bCs w:val="0"/>
              <w:sz w:val="24"/>
              <w:szCs w:val="24"/>
            </w:rPr>
            <w:t>十、</w:t>
          </w:r>
          <w:r>
            <w:rPr>
              <w:rFonts w:hint="eastAsia" w:ascii="仿宋" w:hAnsi="仿宋" w:eastAsia="仿宋"/>
              <w:sz w:val="24"/>
              <w:szCs w:val="24"/>
            </w:rPr>
            <w:t>政</w:t>
          </w:r>
          <w:r>
            <w:rPr>
              <w:rFonts w:hint="eastAsia" w:ascii="仿宋" w:hAnsi="仿宋" w:eastAsia="仿宋"/>
              <w:bCs w:val="0"/>
              <w:sz w:val="24"/>
              <w:szCs w:val="24"/>
            </w:rPr>
            <w:t>府性基金预算财政拨款收入支出决算表</w:t>
          </w:r>
          <w:r>
            <w:rPr>
              <w:sz w:val="24"/>
              <w:szCs w:val="24"/>
            </w:rPr>
            <w:tab/>
          </w:r>
          <w:r>
            <w:rPr>
              <w:sz w:val="24"/>
              <w:szCs w:val="24"/>
            </w:rPr>
            <w:fldChar w:fldCharType="begin"/>
          </w:r>
          <w:r>
            <w:rPr>
              <w:sz w:val="24"/>
              <w:szCs w:val="24"/>
            </w:rPr>
            <w:instrText xml:space="preserve"> PAGEREF _Toc27508 </w:instrText>
          </w:r>
          <w:r>
            <w:rPr>
              <w:sz w:val="24"/>
              <w:szCs w:val="24"/>
            </w:rPr>
            <w:fldChar w:fldCharType="separate"/>
          </w:r>
          <w:r>
            <w:rPr>
              <w:sz w:val="24"/>
              <w:szCs w:val="24"/>
            </w:rPr>
            <w:t>91</w:t>
          </w:r>
          <w:r>
            <w:rPr>
              <w:sz w:val="24"/>
              <w:szCs w:val="24"/>
            </w:rPr>
            <w:fldChar w:fldCharType="end"/>
          </w:r>
          <w:r>
            <w:rPr>
              <w:rFonts w:ascii="仿宋" w:hAnsi="仿宋" w:eastAsia="仿宋"/>
              <w:bCs/>
              <w:kern w:val="44"/>
              <w:sz w:val="24"/>
              <w:szCs w:val="24"/>
            </w:rPr>
            <w:fldChar w:fldCharType="end"/>
          </w:r>
        </w:p>
        <w:p>
          <w:pPr>
            <w:pStyle w:val="15"/>
            <w:tabs>
              <w:tab w:val="right" w:leader="dot" w:pos="8306"/>
              <w:tab w:val="clear" w:pos="8296"/>
            </w:tabs>
            <w:rPr>
              <w:sz w:val="24"/>
              <w:szCs w:val="24"/>
            </w:rPr>
          </w:pPr>
          <w:r>
            <w:rPr>
              <w:rFonts w:ascii="仿宋" w:hAnsi="仿宋" w:eastAsia="仿宋"/>
              <w:bCs/>
              <w:kern w:val="44"/>
              <w:sz w:val="24"/>
              <w:szCs w:val="24"/>
            </w:rPr>
            <w:fldChar w:fldCharType="begin"/>
          </w:r>
          <w:r>
            <w:rPr>
              <w:rFonts w:ascii="仿宋" w:hAnsi="仿宋" w:eastAsia="仿宋"/>
              <w:bCs/>
              <w:kern w:val="44"/>
              <w:sz w:val="24"/>
              <w:szCs w:val="24"/>
            </w:rPr>
            <w:instrText xml:space="preserve"> HYPERLINK \l _Toc26182 </w:instrText>
          </w:r>
          <w:r>
            <w:rPr>
              <w:rFonts w:ascii="仿宋" w:hAnsi="仿宋" w:eastAsia="仿宋"/>
              <w:bCs/>
              <w:kern w:val="44"/>
              <w:sz w:val="24"/>
              <w:szCs w:val="24"/>
            </w:rPr>
            <w:fldChar w:fldCharType="separate"/>
          </w:r>
          <w:r>
            <w:rPr>
              <w:rFonts w:hint="eastAsia" w:ascii="仿宋" w:hAnsi="仿宋" w:eastAsia="仿宋"/>
              <w:bCs w:val="0"/>
              <w:sz w:val="24"/>
              <w:szCs w:val="24"/>
            </w:rPr>
            <w:t>十一、</w:t>
          </w:r>
          <w:r>
            <w:rPr>
              <w:rFonts w:hint="eastAsia" w:ascii="仿宋" w:hAnsi="仿宋" w:eastAsia="仿宋"/>
              <w:sz w:val="24"/>
              <w:szCs w:val="24"/>
            </w:rPr>
            <w:t>国</w:t>
          </w:r>
          <w:r>
            <w:rPr>
              <w:rFonts w:hint="eastAsia" w:ascii="仿宋" w:hAnsi="仿宋" w:eastAsia="仿宋"/>
              <w:bCs w:val="0"/>
              <w:sz w:val="24"/>
              <w:szCs w:val="24"/>
            </w:rPr>
            <w:t>有资本经营预算财政拨款收入支出决算表</w:t>
          </w:r>
          <w:r>
            <w:rPr>
              <w:sz w:val="24"/>
              <w:szCs w:val="24"/>
            </w:rPr>
            <w:tab/>
          </w:r>
          <w:r>
            <w:rPr>
              <w:sz w:val="24"/>
              <w:szCs w:val="24"/>
            </w:rPr>
            <w:fldChar w:fldCharType="begin"/>
          </w:r>
          <w:r>
            <w:rPr>
              <w:sz w:val="24"/>
              <w:szCs w:val="24"/>
            </w:rPr>
            <w:instrText xml:space="preserve"> PAGEREF _Toc26182 </w:instrText>
          </w:r>
          <w:r>
            <w:rPr>
              <w:sz w:val="24"/>
              <w:szCs w:val="24"/>
            </w:rPr>
            <w:fldChar w:fldCharType="separate"/>
          </w:r>
          <w:r>
            <w:rPr>
              <w:sz w:val="24"/>
              <w:szCs w:val="24"/>
            </w:rPr>
            <w:t>91</w:t>
          </w:r>
          <w:r>
            <w:rPr>
              <w:sz w:val="24"/>
              <w:szCs w:val="24"/>
            </w:rPr>
            <w:fldChar w:fldCharType="end"/>
          </w:r>
          <w:r>
            <w:rPr>
              <w:rFonts w:ascii="仿宋" w:hAnsi="仿宋" w:eastAsia="仿宋"/>
              <w:bCs/>
              <w:kern w:val="44"/>
              <w:sz w:val="24"/>
              <w:szCs w:val="24"/>
            </w:rPr>
            <w:fldChar w:fldCharType="end"/>
          </w:r>
        </w:p>
        <w:p>
          <w:pPr>
            <w:pStyle w:val="15"/>
            <w:tabs>
              <w:tab w:val="right" w:leader="dot" w:pos="8306"/>
              <w:tab w:val="clear" w:pos="8296"/>
            </w:tabs>
            <w:rPr>
              <w:sz w:val="24"/>
              <w:szCs w:val="24"/>
            </w:rPr>
          </w:pPr>
          <w:r>
            <w:rPr>
              <w:rFonts w:ascii="仿宋" w:hAnsi="仿宋" w:eastAsia="仿宋"/>
              <w:bCs/>
              <w:kern w:val="44"/>
              <w:sz w:val="24"/>
              <w:szCs w:val="24"/>
            </w:rPr>
            <w:fldChar w:fldCharType="begin"/>
          </w:r>
          <w:r>
            <w:rPr>
              <w:rFonts w:ascii="仿宋" w:hAnsi="仿宋" w:eastAsia="仿宋"/>
              <w:bCs/>
              <w:kern w:val="44"/>
              <w:sz w:val="24"/>
              <w:szCs w:val="24"/>
            </w:rPr>
            <w:instrText xml:space="preserve"> HYPERLINK \l _Toc25856 </w:instrText>
          </w:r>
          <w:r>
            <w:rPr>
              <w:rFonts w:ascii="仿宋" w:hAnsi="仿宋" w:eastAsia="仿宋"/>
              <w:bCs/>
              <w:kern w:val="44"/>
              <w:sz w:val="24"/>
              <w:szCs w:val="24"/>
            </w:rPr>
            <w:fldChar w:fldCharType="separate"/>
          </w:r>
          <w:r>
            <w:rPr>
              <w:rFonts w:hint="eastAsia" w:ascii="仿宋" w:hAnsi="仿宋" w:eastAsia="仿宋"/>
              <w:bCs w:val="0"/>
              <w:sz w:val="24"/>
              <w:szCs w:val="24"/>
            </w:rPr>
            <w:t>十二、国有资本经营预算财政拨款支出决算表</w:t>
          </w:r>
          <w:r>
            <w:rPr>
              <w:sz w:val="24"/>
              <w:szCs w:val="24"/>
            </w:rPr>
            <w:tab/>
          </w:r>
          <w:r>
            <w:rPr>
              <w:sz w:val="24"/>
              <w:szCs w:val="24"/>
            </w:rPr>
            <w:fldChar w:fldCharType="begin"/>
          </w:r>
          <w:r>
            <w:rPr>
              <w:sz w:val="24"/>
              <w:szCs w:val="24"/>
            </w:rPr>
            <w:instrText xml:space="preserve"> PAGEREF _Toc25856 </w:instrText>
          </w:r>
          <w:r>
            <w:rPr>
              <w:sz w:val="24"/>
              <w:szCs w:val="24"/>
            </w:rPr>
            <w:fldChar w:fldCharType="separate"/>
          </w:r>
          <w:r>
            <w:rPr>
              <w:sz w:val="24"/>
              <w:szCs w:val="24"/>
            </w:rPr>
            <w:t>91</w:t>
          </w:r>
          <w:r>
            <w:rPr>
              <w:sz w:val="24"/>
              <w:szCs w:val="24"/>
            </w:rPr>
            <w:fldChar w:fldCharType="end"/>
          </w:r>
          <w:r>
            <w:rPr>
              <w:rFonts w:ascii="仿宋" w:hAnsi="仿宋" w:eastAsia="仿宋"/>
              <w:bCs/>
              <w:kern w:val="44"/>
              <w:sz w:val="24"/>
              <w:szCs w:val="24"/>
            </w:rPr>
            <w:fldChar w:fldCharType="end"/>
          </w:r>
        </w:p>
        <w:p>
          <w:pPr>
            <w:pStyle w:val="15"/>
            <w:tabs>
              <w:tab w:val="right" w:leader="dot" w:pos="8306"/>
              <w:tab w:val="clear" w:pos="8296"/>
            </w:tabs>
          </w:pPr>
          <w:r>
            <w:rPr>
              <w:rFonts w:ascii="仿宋" w:hAnsi="仿宋" w:eastAsia="仿宋"/>
              <w:bCs/>
              <w:kern w:val="44"/>
              <w:sz w:val="24"/>
              <w:szCs w:val="24"/>
            </w:rPr>
            <w:fldChar w:fldCharType="begin"/>
          </w:r>
          <w:r>
            <w:rPr>
              <w:rFonts w:ascii="仿宋" w:hAnsi="仿宋" w:eastAsia="仿宋"/>
              <w:bCs/>
              <w:kern w:val="44"/>
              <w:sz w:val="24"/>
              <w:szCs w:val="24"/>
            </w:rPr>
            <w:instrText xml:space="preserve"> HYPERLINK \l _Toc31408 </w:instrText>
          </w:r>
          <w:r>
            <w:rPr>
              <w:rFonts w:ascii="仿宋" w:hAnsi="仿宋" w:eastAsia="仿宋"/>
              <w:bCs/>
              <w:kern w:val="44"/>
              <w:sz w:val="24"/>
              <w:szCs w:val="24"/>
            </w:rPr>
            <w:fldChar w:fldCharType="separate"/>
          </w:r>
          <w:r>
            <w:rPr>
              <w:rFonts w:hint="eastAsia" w:ascii="仿宋" w:hAnsi="仿宋" w:eastAsia="仿宋"/>
              <w:bCs w:val="0"/>
              <w:sz w:val="24"/>
              <w:szCs w:val="24"/>
            </w:rPr>
            <w:t>十三、财政拨款“三公”经费支出决算表</w:t>
          </w:r>
          <w:r>
            <w:rPr>
              <w:sz w:val="24"/>
              <w:szCs w:val="24"/>
            </w:rPr>
            <w:tab/>
          </w:r>
          <w:r>
            <w:rPr>
              <w:sz w:val="24"/>
              <w:szCs w:val="24"/>
            </w:rPr>
            <w:fldChar w:fldCharType="begin"/>
          </w:r>
          <w:r>
            <w:rPr>
              <w:sz w:val="24"/>
              <w:szCs w:val="24"/>
            </w:rPr>
            <w:instrText xml:space="preserve"> PAGEREF _Toc31408 </w:instrText>
          </w:r>
          <w:r>
            <w:rPr>
              <w:sz w:val="24"/>
              <w:szCs w:val="24"/>
            </w:rPr>
            <w:fldChar w:fldCharType="separate"/>
          </w:r>
          <w:r>
            <w:rPr>
              <w:sz w:val="24"/>
              <w:szCs w:val="24"/>
            </w:rPr>
            <w:t>91</w:t>
          </w:r>
          <w:r>
            <w:rPr>
              <w:sz w:val="24"/>
              <w:szCs w:val="24"/>
            </w:rPr>
            <w:fldChar w:fldCharType="end"/>
          </w:r>
          <w:r>
            <w:rPr>
              <w:rFonts w:ascii="仿宋" w:hAnsi="仿宋" w:eastAsia="仿宋"/>
              <w:bCs/>
              <w:kern w:val="44"/>
              <w:sz w:val="24"/>
              <w:szCs w:val="24"/>
            </w:rPr>
            <w:fldChar w:fldCharType="end"/>
          </w:r>
        </w:p>
        <w:p>
          <w:pPr>
            <w:widowControl/>
            <w:spacing w:line="440" w:lineRule="exact"/>
            <w:jc w:val="left"/>
            <w:rPr>
              <w:rFonts w:hint="eastAsia" w:ascii="仿宋" w:hAnsi="仿宋" w:eastAsia="仿宋"/>
              <w:bCs/>
              <w:kern w:val="44"/>
              <w:sz w:val="24"/>
            </w:rPr>
          </w:pPr>
          <w:r>
            <w:rPr>
              <w:rFonts w:ascii="仿宋" w:hAnsi="仿宋" w:eastAsia="仿宋"/>
              <w:bCs/>
              <w:kern w:val="44"/>
            </w:rPr>
            <w:fldChar w:fldCharType="end"/>
          </w:r>
        </w:p>
      </w:sdtContent>
    </w:sdt>
    <w:p>
      <w:pPr>
        <w:pStyle w:val="5"/>
        <w:jc w:val="center"/>
        <w:rPr>
          <w:rFonts w:hint="eastAsia" w:ascii="黑体" w:hAnsi="黑体" w:eastAsia="黑体"/>
          <w:b w:val="0"/>
        </w:rPr>
      </w:pPr>
      <w:r>
        <w:rPr>
          <w:rFonts w:hint="eastAsia" w:ascii="黑体" w:hAnsi="黑体" w:eastAsia="黑体"/>
          <w:b w:val="0"/>
        </w:rPr>
        <w:br w:type="page"/>
      </w:r>
    </w:p>
    <w:p>
      <w:pPr>
        <w:pStyle w:val="5"/>
        <w:jc w:val="center"/>
        <w:rPr>
          <w:rFonts w:ascii="黑体" w:eastAsia="黑体"/>
          <w:sz w:val="32"/>
          <w:szCs w:val="32"/>
        </w:rPr>
      </w:pPr>
      <w:bookmarkStart w:id="8" w:name="_Toc31327"/>
      <w:r>
        <w:rPr>
          <w:rFonts w:hint="eastAsia" w:ascii="黑体" w:hAnsi="黑体" w:eastAsia="黑体"/>
          <w:b w:val="0"/>
        </w:rPr>
        <w:t xml:space="preserve">第一部分 </w:t>
      </w:r>
      <w:r>
        <w:rPr>
          <w:rFonts w:hint="eastAsia" w:ascii="黑体" w:hAnsi="黑体" w:eastAsia="黑体"/>
          <w:b w:val="0"/>
          <w:lang w:val="en-US" w:eastAsia="zh-CN"/>
        </w:rPr>
        <w:t>部门</w:t>
      </w:r>
      <w:r>
        <w:rPr>
          <w:rStyle w:val="31"/>
          <w:rFonts w:hint="eastAsia" w:ascii="黑体" w:hAnsi="黑体" w:eastAsia="黑体"/>
          <w:b w:val="0"/>
          <w:bCs w:val="0"/>
        </w:rPr>
        <w:t>概况</w:t>
      </w:r>
      <w:bookmarkEnd w:id="6"/>
      <w:bookmarkEnd w:id="7"/>
      <w:bookmarkEnd w:id="8"/>
    </w:p>
    <w:p>
      <w:pPr>
        <w:pStyle w:val="6"/>
        <w:rPr>
          <w:rFonts w:hint="eastAsia" w:ascii="黑体" w:hAnsi="黑体" w:eastAsia="黑体"/>
          <w:b w:val="0"/>
        </w:rPr>
      </w:pPr>
      <w:bookmarkStart w:id="9" w:name="_Toc14729"/>
      <w:r>
        <w:rPr>
          <w:rFonts w:hint="eastAsia" w:ascii="黑体" w:hAnsi="黑体" w:eastAsia="黑体"/>
          <w:b w:val="0"/>
        </w:rPr>
        <w:t>一、</w:t>
      </w:r>
      <w:r>
        <w:rPr>
          <w:rFonts w:hint="eastAsia" w:ascii="黑体" w:hAnsi="黑体" w:eastAsia="黑体"/>
          <w:b w:val="0"/>
          <w:lang w:val="en-US" w:eastAsia="zh-CN"/>
        </w:rPr>
        <w:t>部门</w:t>
      </w:r>
      <w:r>
        <w:rPr>
          <w:rFonts w:hint="eastAsia" w:ascii="黑体" w:hAnsi="黑体" w:eastAsia="黑体"/>
          <w:b w:val="0"/>
        </w:rPr>
        <w:t>职责</w:t>
      </w:r>
      <w:bookmarkEnd w:id="9"/>
    </w:p>
    <w:p>
      <w:pPr>
        <w:adjustRightInd w:val="0"/>
        <w:snapToGrid w:val="0"/>
        <w:spacing w:line="576" w:lineRule="exact"/>
        <w:ind w:firstLine="640" w:firstLineChars="200"/>
        <w:rPr>
          <w:rFonts w:eastAsia="仿宋_GB2312"/>
        </w:rPr>
      </w:pPr>
      <w:r>
        <w:rPr>
          <w:rFonts w:hint="eastAsia" w:ascii="方正仿宋_GBK" w:hAnsi="方正仿宋_GBK" w:eastAsia="方正仿宋_GBK" w:cs="方正仿宋_GBK"/>
          <w:sz w:val="32"/>
          <w:szCs w:val="32"/>
        </w:rPr>
        <w:t>贯彻执行党和政府关于民族、宗教工作的法律法规和方针政策。处理民族关系中的重大事项。负责民族、宗教政策、法律、法规的宣传教育工作并监督实施。拟定民族地区经济社会发展规划。管理民族专项资金。研究少数民族和民族地区教育、文化、科技、卫生、体育、计划生育、新闻出版等方面的特殊问题。监督和办理少数民族权益保障事宜。依法保护公民宗教信仰自由和正常的宗教活动，维护宗教界合法权益，支持宗教团体加强自身建设。负责对宗教法律、法规和政策的贯彻实施进行监督管理；引导、促进宗教在法律、法规和政策范围内活动，防止和制止不法分子利用宗教进行非法、违法活动。负责组织实施安置凉山州自发迁居农民工作规划、管理，协助县（区）和相关部门处理好自发迁居农民的遗留问题，指导县区完成凉山州自发迁农民的安置发展工作。会同相关部门做好少数民族干部和民族工作干部的培养、教育和推荐使用工作。参与涉及民族、宗教事务的对外宣传工作。承担市政府公布的有关行政审批事项。</w:t>
      </w:r>
    </w:p>
    <w:p>
      <w:pPr>
        <w:pStyle w:val="6"/>
        <w:adjustRightInd w:val="0"/>
        <w:snapToGrid w:val="0"/>
        <w:spacing w:line="576" w:lineRule="exact"/>
        <w:rPr>
          <w:rFonts w:hint="eastAsia" w:ascii="黑体" w:hAnsi="黑体" w:eastAsia="黑体"/>
          <w:b w:val="0"/>
        </w:rPr>
      </w:pPr>
      <w:bookmarkStart w:id="10" w:name="_Toc22186"/>
      <w:bookmarkStart w:id="11" w:name="_Toc15396601"/>
      <w:bookmarkStart w:id="12" w:name="_Toc15377200"/>
      <w:r>
        <w:rPr>
          <w:rFonts w:hint="eastAsia" w:ascii="黑体" w:hAnsi="黑体" w:eastAsia="黑体"/>
          <w:b w:val="0"/>
        </w:rPr>
        <w:t>二、机构设置</w:t>
      </w:r>
      <w:bookmarkEnd w:id="10"/>
      <w:bookmarkEnd w:id="11"/>
      <w:bookmarkEnd w:id="12"/>
    </w:p>
    <w:p>
      <w:pPr>
        <w:adjustRightInd w:val="0"/>
        <w:snapToGrid w:val="0"/>
        <w:spacing w:line="576" w:lineRule="exact"/>
        <w:ind w:firstLine="640" w:firstLineChars="200"/>
        <w:rPr>
          <w:rFonts w:hint="eastAsia" w:ascii="Times New Roman" w:hAnsi="Times New Roman" w:eastAsia="方正仿宋_GBK" w:cs="Times New Roman"/>
          <w:sz w:val="32"/>
          <w:szCs w:val="32"/>
        </w:rPr>
      </w:pPr>
      <w:r>
        <w:rPr>
          <w:rFonts w:hint="eastAsia" w:ascii="方正仿宋_GBK" w:hAnsi="方正仿宋_GBK" w:eastAsia="方正仿宋_GBK" w:cs="方正仿宋_GBK"/>
          <w:sz w:val="32"/>
          <w:szCs w:val="32"/>
        </w:rPr>
        <w:t>攀枝花市民族宗教委员会下属二级预算单位</w:t>
      </w:r>
      <w:r>
        <w:rPr>
          <w:rFonts w:hint="default" w:ascii="Times New Roman" w:hAnsi="Times New Roman" w:eastAsia="仿宋_GB2312" w:cs="Times New Roman"/>
          <w:sz w:val="32"/>
          <w:szCs w:val="32"/>
        </w:rPr>
        <w:t>1</w:t>
      </w:r>
      <w:r>
        <w:rPr>
          <w:rFonts w:hint="eastAsia" w:ascii="方正仿宋_GBK" w:hAnsi="方正仿宋_GBK" w:eastAsia="方正仿宋_GBK" w:cs="方正仿宋_GBK"/>
          <w:sz w:val="32"/>
          <w:szCs w:val="32"/>
        </w:rPr>
        <w:t>个，其中行政单位</w:t>
      </w:r>
      <w:r>
        <w:rPr>
          <w:rFonts w:hint="default" w:ascii="Times New Roman" w:hAnsi="Times New Roman" w:eastAsia="方正仿宋_GBK" w:cs="Times New Roman"/>
          <w:sz w:val="32"/>
          <w:szCs w:val="32"/>
        </w:rPr>
        <w:t>0</w:t>
      </w:r>
      <w:r>
        <w:rPr>
          <w:rFonts w:hint="eastAsia" w:ascii="方正仿宋_GBK" w:hAnsi="方正仿宋_GBK" w:eastAsia="方正仿宋_GBK" w:cs="方正仿宋_GBK"/>
          <w:sz w:val="32"/>
          <w:szCs w:val="32"/>
        </w:rPr>
        <w:t>个，参照公务员法管理的事业单位</w:t>
      </w:r>
      <w:r>
        <w:rPr>
          <w:rFonts w:hint="eastAsia" w:ascii="Times New Roman" w:hAnsi="Times New Roman" w:eastAsia="方正仿宋_GBK" w:cs="Times New Roman"/>
          <w:sz w:val="32"/>
          <w:szCs w:val="32"/>
        </w:rPr>
        <w:t>0个，其他事业单位1个。</w:t>
      </w:r>
    </w:p>
    <w:p>
      <w:pPr>
        <w:adjustRightInd w:val="0"/>
        <w:snapToGrid w:val="0"/>
        <w:spacing w:line="576"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纳入攀枝花市民族宗教委202</w:t>
      </w: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rPr>
        <w:t>年度部门决算编制范围的二级预算单位包括：</w:t>
      </w:r>
    </w:p>
    <w:p>
      <w:pPr>
        <w:adjustRightInd w:val="0"/>
        <w:snapToGrid w:val="0"/>
        <w:spacing w:line="576" w:lineRule="exact"/>
        <w:ind w:firstLine="640" w:firstLineChars="200"/>
        <w:rPr>
          <w:rFonts w:hint="eastAsia" w:ascii="仿宋_GB2312" w:hAnsi="仿宋_GB2312" w:eastAsia="仿宋_GB2312" w:cs="仿宋_GB2312"/>
          <w:sz w:val="32"/>
          <w:szCs w:val="32"/>
        </w:rPr>
      </w:pPr>
      <w:bookmarkStart w:id="13" w:name="_Toc15306276"/>
      <w:bookmarkStart w:id="14" w:name="_Toc15377202"/>
      <w:bookmarkStart w:id="15" w:name="_Toc15378449"/>
      <w:bookmarkStart w:id="16" w:name="_Toc15377433"/>
      <w:r>
        <w:rPr>
          <w:rFonts w:hint="eastAsia" w:ascii="Times New Roman" w:hAnsi="Times New Roman" w:eastAsia="方正仿宋_GBK" w:cs="Times New Roman"/>
          <w:sz w:val="32"/>
          <w:szCs w:val="32"/>
        </w:rPr>
        <w:t>1.攀枝花</w:t>
      </w:r>
      <w:r>
        <w:rPr>
          <w:rFonts w:hint="eastAsia" w:ascii="方正仿宋_GBK" w:hAnsi="方正仿宋_GBK" w:eastAsia="方正仿宋_GBK" w:cs="方正仿宋_GBK"/>
          <w:sz w:val="32"/>
          <w:szCs w:val="32"/>
        </w:rPr>
        <w:t>市民族宗教</w:t>
      </w:r>
      <w:bookmarkEnd w:id="13"/>
      <w:bookmarkEnd w:id="14"/>
      <w:bookmarkEnd w:id="15"/>
      <w:bookmarkEnd w:id="16"/>
      <w:r>
        <w:rPr>
          <w:rFonts w:hint="eastAsia" w:ascii="方正仿宋_GBK" w:hAnsi="方正仿宋_GBK" w:eastAsia="方正仿宋_GBK" w:cs="方正仿宋_GBK"/>
          <w:sz w:val="32"/>
          <w:szCs w:val="32"/>
        </w:rPr>
        <w:t>事务服务中心</w:t>
      </w:r>
    </w:p>
    <w:p>
      <w:pPr>
        <w:widowControl/>
        <w:jc w:val="left"/>
        <w:rPr>
          <w:rFonts w:hint="eastAsia" w:ascii="仿宋" w:hAnsi="仿宋" w:eastAsia="仿宋"/>
          <w:kern w:val="0"/>
          <w:sz w:val="32"/>
          <w:szCs w:val="32"/>
        </w:rPr>
      </w:pPr>
      <w:r>
        <w:rPr>
          <w:rFonts w:ascii="仿宋" w:hAnsi="仿宋" w:eastAsia="仿宋"/>
          <w:sz w:val="32"/>
          <w:szCs w:val="32"/>
        </w:rPr>
        <w:br w:type="page"/>
      </w:r>
    </w:p>
    <w:p>
      <w:pPr>
        <w:pStyle w:val="5"/>
        <w:ind w:right="440"/>
        <w:jc w:val="center"/>
        <w:rPr>
          <w:rStyle w:val="31"/>
          <w:rFonts w:hint="eastAsia" w:ascii="黑体" w:hAnsi="黑体" w:eastAsia="黑体"/>
          <w:b w:val="0"/>
          <w:bCs/>
        </w:rPr>
      </w:pPr>
      <w:bookmarkStart w:id="17" w:name="_Toc15377204"/>
      <w:bookmarkStart w:id="18" w:name="_Toc15396602"/>
      <w:bookmarkStart w:id="19" w:name="_Toc8413"/>
      <w:r>
        <w:rPr>
          <w:rFonts w:hint="eastAsia" w:ascii="黑体" w:hAnsi="黑体" w:eastAsia="黑体"/>
          <w:b w:val="0"/>
        </w:rPr>
        <w:t>第二部分 202</w:t>
      </w:r>
      <w:r>
        <w:rPr>
          <w:rFonts w:hint="eastAsia" w:ascii="黑体" w:hAnsi="黑体" w:eastAsia="黑体"/>
          <w:b w:val="0"/>
          <w:lang w:val="en-US" w:eastAsia="zh-CN"/>
        </w:rPr>
        <w:t>4</w:t>
      </w:r>
      <w:r>
        <w:rPr>
          <w:rFonts w:hint="eastAsia" w:ascii="黑体" w:hAnsi="黑体" w:eastAsia="黑体"/>
          <w:b w:val="0"/>
        </w:rPr>
        <w:t>年度</w:t>
      </w:r>
      <w:r>
        <w:rPr>
          <w:rFonts w:hint="eastAsia" w:ascii="黑体" w:hAnsi="黑体" w:eastAsia="黑体"/>
          <w:b w:val="0"/>
          <w:lang w:val="en-US" w:eastAsia="zh-CN"/>
        </w:rPr>
        <w:t>部门</w:t>
      </w:r>
      <w:r>
        <w:rPr>
          <w:rStyle w:val="31"/>
          <w:rFonts w:hint="eastAsia" w:ascii="黑体" w:hAnsi="黑体" w:eastAsia="黑体"/>
          <w:b w:val="0"/>
          <w:bCs/>
        </w:rPr>
        <w:t>决算情况说明</w:t>
      </w:r>
      <w:bookmarkEnd w:id="17"/>
      <w:bookmarkEnd w:id="18"/>
      <w:bookmarkEnd w:id="19"/>
    </w:p>
    <w:p/>
    <w:p>
      <w:pPr>
        <w:pStyle w:val="6"/>
        <w:adjustRightInd w:val="0"/>
        <w:snapToGrid w:val="0"/>
        <w:spacing w:line="576" w:lineRule="exact"/>
        <w:ind w:firstLine="629" w:firstLineChars="196"/>
        <w:rPr>
          <w:rStyle w:val="53"/>
          <w:rFonts w:hint="eastAsia" w:ascii="黑体" w:hAnsi="黑体" w:eastAsia="黑体"/>
          <w:b/>
          <w:bCs w:val="0"/>
        </w:rPr>
      </w:pPr>
      <w:bookmarkStart w:id="20" w:name="_Toc2350"/>
      <w:r>
        <w:rPr>
          <w:rFonts w:hint="eastAsia" w:ascii="黑体" w:hAnsi="黑体" w:eastAsia="黑体"/>
        </w:rPr>
        <w:t>一、</w:t>
      </w:r>
      <w:r>
        <w:rPr>
          <w:rFonts w:hint="eastAsia" w:ascii="黑体" w:hAnsi="黑体" w:eastAsia="黑体"/>
          <w:b w:val="0"/>
        </w:rPr>
        <w:t>收入支出决算总体情况说明</w:t>
      </w:r>
      <w:bookmarkEnd w:id="20"/>
    </w:p>
    <w:p>
      <w:pPr>
        <w:adjustRightInd w:val="0"/>
        <w:snapToGrid w:val="0"/>
        <w:spacing w:line="576" w:lineRule="exact"/>
        <w:ind w:firstLine="640" w:firstLineChars="200"/>
        <w:rPr>
          <w:rFonts w:hint="eastAsia" w:ascii="仿宋_GB2312" w:hAnsi="仿宋" w:eastAsia="仿宋_GB2312"/>
          <w:sz w:val="32"/>
          <w:szCs w:val="32"/>
        </w:rPr>
      </w:pPr>
      <w:r>
        <w:rPr>
          <w:rFonts w:hint="eastAsia" w:ascii="Times New Roman" w:hAnsi="Times New Roman" w:eastAsia="方正仿宋_GBK" w:cs="Times New Roman"/>
          <w:sz w:val="32"/>
          <w:szCs w:val="32"/>
        </w:rPr>
        <w:drawing>
          <wp:anchor distT="0" distB="0" distL="114300" distR="114300" simplePos="0" relativeHeight="251684864" behindDoc="1" locked="0" layoutInCell="1" allowOverlap="1">
            <wp:simplePos x="0" y="0"/>
            <wp:positionH relativeFrom="column">
              <wp:posOffset>133350</wp:posOffset>
            </wp:positionH>
            <wp:positionV relativeFrom="paragraph">
              <wp:posOffset>1932305</wp:posOffset>
            </wp:positionV>
            <wp:extent cx="4895850" cy="1524000"/>
            <wp:effectExtent l="0" t="0" r="0" b="0"/>
            <wp:wrapSquare wrapText="bothSides"/>
            <wp:docPr id="8" name="对象 2"/>
            <wp:cNvGraphicFramePr>
              <a:graphicFrameLocks xmlns:a="http://schemas.openxmlformats.org/drawingml/2006/main" noChangeAspect="true"/>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rPr>
        <w:t>年度收、支总计</w:t>
      </w:r>
      <w:r>
        <w:rPr>
          <w:rFonts w:hint="eastAsia" w:ascii="Times New Roman" w:hAnsi="Times New Roman" w:eastAsia="方正仿宋_GBK" w:cs="Times New Roman"/>
          <w:sz w:val="32"/>
          <w:szCs w:val="32"/>
          <w:lang w:val="en-US" w:eastAsia="zh-CN"/>
        </w:rPr>
        <w:t>768.2</w:t>
      </w:r>
      <w:r>
        <w:rPr>
          <w:rFonts w:hint="eastAsia" w:ascii="Times New Roman" w:hAnsi="Times New Roman" w:eastAsia="方正仿宋_GBK" w:cs="Times New Roman"/>
          <w:sz w:val="32"/>
          <w:szCs w:val="32"/>
        </w:rPr>
        <w:t>万元。与202</w:t>
      </w: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rPr>
        <w:t>年相比，</w:t>
      </w:r>
      <w:r>
        <w:rPr>
          <w:rFonts w:hint="eastAsia" w:ascii="Times New Roman" w:hAnsi="Times New Roman" w:eastAsia="方正仿宋_GBK" w:cs="Times New Roman"/>
          <w:sz w:val="32"/>
          <w:szCs w:val="32"/>
          <w:lang w:eastAsia="zh-CN"/>
        </w:rPr>
        <w:t>收入</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支出</w:t>
      </w:r>
      <w:r>
        <w:rPr>
          <w:rFonts w:hint="eastAsia" w:ascii="Times New Roman" w:hAnsi="Times New Roman" w:eastAsia="方正仿宋_GBK" w:cs="Times New Roman"/>
          <w:sz w:val="32"/>
          <w:szCs w:val="32"/>
        </w:rPr>
        <w:t>总计各</w:t>
      </w:r>
      <w:r>
        <w:rPr>
          <w:rFonts w:hint="eastAsia" w:ascii="Times New Roman" w:hAnsi="Times New Roman" w:eastAsia="方正仿宋_GBK" w:cs="Times New Roman"/>
          <w:sz w:val="32"/>
          <w:szCs w:val="32"/>
          <w:lang w:val="en-US" w:eastAsia="zh-CN"/>
        </w:rPr>
        <w:t>减少</w:t>
      </w:r>
      <w:r>
        <w:rPr>
          <w:rFonts w:hint="eastAsia" w:ascii="Times New Roman" w:hAnsi="Times New Roman" w:eastAsia="方正仿宋_GBK" w:cs="Times New Roman"/>
          <w:sz w:val="32"/>
          <w:szCs w:val="32"/>
        </w:rPr>
        <w:t>了</w:t>
      </w:r>
      <w:r>
        <w:rPr>
          <w:rFonts w:hint="eastAsia" w:ascii="Times New Roman" w:hAnsi="Times New Roman" w:eastAsia="方正仿宋_GBK" w:cs="Times New Roman"/>
          <w:sz w:val="32"/>
          <w:szCs w:val="32"/>
          <w:lang w:val="en-US" w:eastAsia="zh-CN"/>
        </w:rPr>
        <w:t>18.35</w:t>
      </w:r>
      <w:r>
        <w:rPr>
          <w:rFonts w:hint="eastAsia"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val="en-US" w:eastAsia="zh-CN"/>
        </w:rPr>
        <w:t>降低2.33</w:t>
      </w:r>
      <w:r>
        <w:rPr>
          <w:rFonts w:hint="eastAsia" w:ascii="Times New Roman" w:hAnsi="Times New Roman" w:eastAsia="方正仿宋_GBK" w:cs="Times New Roman"/>
          <w:sz w:val="32"/>
          <w:szCs w:val="32"/>
        </w:rPr>
        <w:t>%</w:t>
      </w:r>
      <w:r>
        <w:rPr>
          <w:rFonts w:hint="eastAsia" w:ascii="方正仿宋_GBK" w:hAnsi="方正仿宋_GBK" w:eastAsia="方正仿宋_GBK" w:cs="方正仿宋_GBK"/>
          <w:sz w:val="32"/>
          <w:szCs w:val="32"/>
        </w:rPr>
        <w:t>，主要变动原因是</w:t>
      </w:r>
      <w:r>
        <w:rPr>
          <w:rFonts w:hint="eastAsia" w:ascii="Times New Roman" w:hAnsi="Times New Roman" w:eastAsia="方正仿宋_GBK" w:cs="Times New Roman"/>
          <w:sz w:val="32"/>
          <w:szCs w:val="32"/>
          <w:lang w:val="en-US" w:eastAsia="zh-CN"/>
        </w:rPr>
        <w:t>2023</w:t>
      </w:r>
      <w:r>
        <w:rPr>
          <w:rFonts w:hint="eastAsia" w:ascii="方正仿宋_GBK" w:hAnsi="方正仿宋_GBK" w:eastAsia="方正仿宋_GBK" w:cs="方正仿宋_GBK"/>
          <w:sz w:val="32"/>
          <w:szCs w:val="32"/>
          <w:lang w:val="en-US" w:eastAsia="zh-CN"/>
        </w:rPr>
        <w:t>年末单位行政人员退休较多，虽有新进入人员，都为事业人员，</w:t>
      </w:r>
      <w:r>
        <w:rPr>
          <w:rFonts w:hint="eastAsia" w:ascii="Times New Roman" w:hAnsi="Times New Roman" w:eastAsia="方正仿宋_GBK" w:cs="Times New Roman"/>
          <w:sz w:val="32"/>
          <w:szCs w:val="32"/>
          <w:lang w:val="en-US" w:eastAsia="zh-CN"/>
        </w:rPr>
        <w:t>导致</w:t>
      </w:r>
      <w:r>
        <w:rPr>
          <w:rFonts w:hint="eastAsia" w:ascii="方正仿宋_GBK" w:hAnsi="方正仿宋_GBK" w:eastAsia="方正仿宋_GBK" w:cs="方正仿宋_GBK"/>
          <w:sz w:val="32"/>
          <w:szCs w:val="32"/>
          <w:lang w:val="en-US" w:eastAsia="zh-CN"/>
        </w:rPr>
        <w:t>人员经费较上一年度减少较多</w:t>
      </w:r>
      <w:r>
        <w:rPr>
          <w:rFonts w:hint="eastAsia" w:ascii="方正仿宋_GBK" w:hAnsi="方正仿宋_GBK" w:eastAsia="方正仿宋_GBK" w:cs="方正仿宋_GBK"/>
          <w:sz w:val="32"/>
          <w:szCs w:val="32"/>
        </w:rPr>
        <w:t>。</w:t>
      </w:r>
    </w:p>
    <w:p>
      <w:pPr>
        <w:adjustRightInd w:val="0"/>
        <w:snapToGrid w:val="0"/>
        <w:spacing w:line="576" w:lineRule="exact"/>
        <w:ind w:firstLine="640" w:firstLineChars="200"/>
        <w:rPr>
          <w:rFonts w:hint="eastAsia"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6"/>
        <w:adjustRightInd w:val="0"/>
        <w:snapToGrid w:val="0"/>
        <w:spacing w:line="576" w:lineRule="exact"/>
        <w:ind w:firstLine="629" w:firstLineChars="196"/>
        <w:rPr>
          <w:rStyle w:val="32"/>
          <w:rFonts w:hint="eastAsia" w:ascii="黑体" w:hAnsi="黑体" w:eastAsia="黑体"/>
          <w:b/>
          <w:bCs w:val="0"/>
        </w:rPr>
      </w:pPr>
      <w:bookmarkStart w:id="21" w:name="_Toc15396604"/>
      <w:bookmarkStart w:id="22" w:name="_Toc15377206"/>
      <w:bookmarkStart w:id="23" w:name="_Toc14445"/>
      <w:r>
        <w:rPr>
          <w:rFonts w:hint="eastAsia" w:ascii="黑体" w:hAnsi="黑体" w:eastAsia="黑体"/>
        </w:rPr>
        <w:t>二、收</w:t>
      </w:r>
      <w:r>
        <w:rPr>
          <w:rStyle w:val="32"/>
          <w:rFonts w:hint="eastAsia" w:ascii="黑体" w:hAnsi="黑体" w:eastAsia="黑体"/>
          <w:b w:val="0"/>
          <w:bCs w:val="0"/>
        </w:rPr>
        <w:t>入决算情况说明</w:t>
      </w:r>
      <w:bookmarkEnd w:id="21"/>
      <w:bookmarkEnd w:id="22"/>
      <w:bookmarkEnd w:id="23"/>
    </w:p>
    <w:p>
      <w:pPr>
        <w:adjustRightInd w:val="0"/>
        <w:snapToGrid w:val="0"/>
        <w:spacing w:line="576"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2024年本年收入合计768.2万元，其中：一般公共预算财政拨款收入768.2万元，占100%。</w:t>
      </w:r>
    </w:p>
    <w:p>
      <w:pPr>
        <w:adjustRightInd w:val="0"/>
        <w:snapToGrid w:val="0"/>
        <w:spacing w:line="576" w:lineRule="exact"/>
        <w:ind w:firstLine="640" w:firstLineChars="200"/>
        <w:outlineLvl w:val="1"/>
        <w:rPr>
          <w:rFonts w:hint="eastAsia" w:ascii="仿宋" w:hAnsi="仿宋" w:eastAsia="仿宋"/>
          <w:sz w:val="32"/>
          <w:szCs w:val="32"/>
        </w:rPr>
      </w:pPr>
      <w:bookmarkStart w:id="24" w:name="_Toc176901229"/>
      <w:bookmarkStart w:id="25" w:name="_Toc176901890"/>
      <w:bookmarkStart w:id="26" w:name="_Toc176901961"/>
      <w:bookmarkStart w:id="27" w:name="_Toc176901084"/>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36736" behindDoc="0" locked="0" layoutInCell="1" allowOverlap="1">
            <wp:simplePos x="0" y="0"/>
            <wp:positionH relativeFrom="column">
              <wp:posOffset>561975</wp:posOffset>
            </wp:positionH>
            <wp:positionV relativeFrom="paragraph">
              <wp:posOffset>83185</wp:posOffset>
            </wp:positionV>
            <wp:extent cx="4286250" cy="1209675"/>
            <wp:effectExtent l="0" t="0" r="0" b="0"/>
            <wp:wrapSquare wrapText="bothSides"/>
            <wp:docPr id="2" name="对象 2"/>
            <wp:cNvGraphicFramePr>
              <a:graphicFrameLocks xmlns:a="http://schemas.openxmlformats.org/drawingml/2006/main" noChangeAspect="true"/>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bookmarkEnd w:id="24"/>
      <w:bookmarkEnd w:id="25"/>
      <w:bookmarkEnd w:id="26"/>
      <w:bookmarkEnd w:id="27"/>
    </w:p>
    <w:p>
      <w:pPr>
        <w:adjustRightInd w:val="0"/>
        <w:snapToGrid w:val="0"/>
        <w:spacing w:line="576" w:lineRule="exact"/>
        <w:ind w:firstLine="640" w:firstLineChars="200"/>
        <w:rPr>
          <w:rFonts w:hint="eastAsia" w:ascii="仿宋" w:hAnsi="仿宋" w:eastAsia="仿宋"/>
          <w:sz w:val="32"/>
          <w:szCs w:val="32"/>
        </w:rPr>
      </w:pPr>
    </w:p>
    <w:p>
      <w:pPr>
        <w:adjustRightInd w:val="0"/>
        <w:snapToGrid w:val="0"/>
        <w:spacing w:line="576" w:lineRule="exact"/>
        <w:rPr>
          <w:rFonts w:hint="eastAsia" w:ascii="仿宋" w:hAnsi="仿宋" w:eastAsia="仿宋"/>
          <w:sz w:val="32"/>
          <w:szCs w:val="32"/>
        </w:rPr>
      </w:pPr>
    </w:p>
    <w:p>
      <w:pPr>
        <w:adjustRightInd w:val="0"/>
        <w:snapToGrid w:val="0"/>
        <w:spacing w:line="576" w:lineRule="exact"/>
        <w:ind w:firstLine="640" w:firstLineChars="200"/>
        <w:rPr>
          <w:rFonts w:hint="eastAsia" w:ascii="仿宋" w:hAnsi="仿宋" w:eastAsia="仿宋"/>
          <w:sz w:val="32"/>
          <w:szCs w:val="32"/>
        </w:rPr>
      </w:pPr>
      <w:r>
        <w:rPr>
          <w:rFonts w:hint="eastAsia" w:ascii="仿宋" w:hAnsi="仿宋" w:eastAsia="仿宋"/>
          <w:sz w:val="32"/>
          <w:szCs w:val="32"/>
        </w:rPr>
        <w:t>（图2：收入决算结构图）（饼状图）</w:t>
      </w:r>
    </w:p>
    <w:p>
      <w:pPr>
        <w:pStyle w:val="6"/>
        <w:adjustRightInd w:val="0"/>
        <w:snapToGrid w:val="0"/>
        <w:spacing w:line="576" w:lineRule="exact"/>
        <w:ind w:firstLine="629" w:firstLineChars="196"/>
        <w:rPr>
          <w:rStyle w:val="32"/>
          <w:rFonts w:hint="eastAsia" w:ascii="黑体" w:hAnsi="黑体" w:eastAsia="黑体"/>
          <w:b/>
          <w:bCs w:val="0"/>
        </w:rPr>
      </w:pPr>
      <w:bookmarkStart w:id="28" w:name="_Toc15396605"/>
      <w:bookmarkStart w:id="29" w:name="_Toc15377207"/>
      <w:bookmarkStart w:id="30" w:name="_Toc25922"/>
      <w:r>
        <w:rPr>
          <w:rFonts w:hint="eastAsia" w:ascii="黑体" w:hAnsi="黑体" w:eastAsia="黑体"/>
        </w:rPr>
        <w:t>三、支</w:t>
      </w:r>
      <w:r>
        <w:rPr>
          <w:rStyle w:val="32"/>
          <w:rFonts w:hint="eastAsia" w:ascii="黑体" w:hAnsi="黑体" w:eastAsia="黑体"/>
          <w:b w:val="0"/>
          <w:bCs w:val="0"/>
        </w:rPr>
        <w:t>出决算情况说明</w:t>
      </w:r>
      <w:bookmarkEnd w:id="28"/>
      <w:bookmarkEnd w:id="29"/>
      <w:bookmarkEnd w:id="30"/>
    </w:p>
    <w:p>
      <w:pPr>
        <w:adjustRightInd w:val="0"/>
        <w:snapToGrid w:val="0"/>
        <w:spacing w:line="576"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2024年本年支出合计768.2万元，其中：543.2万元，占70.71%；项目支出225万元，占29.28%。</w:t>
      </w:r>
    </w:p>
    <w:p>
      <w:pPr>
        <w:adjustRightInd w:val="0"/>
        <w:snapToGrid w:val="0"/>
        <w:spacing w:line="576" w:lineRule="exact"/>
      </w:pPr>
      <w:r>
        <w:drawing>
          <wp:anchor distT="0" distB="0" distL="114300" distR="114300" simplePos="0" relativeHeight="251643904" behindDoc="1" locked="0" layoutInCell="1" allowOverlap="1">
            <wp:simplePos x="0" y="0"/>
            <wp:positionH relativeFrom="column">
              <wp:posOffset>400050</wp:posOffset>
            </wp:positionH>
            <wp:positionV relativeFrom="paragraph">
              <wp:posOffset>178435</wp:posOffset>
            </wp:positionV>
            <wp:extent cx="4229100" cy="1685925"/>
            <wp:effectExtent l="0" t="0" r="0" b="0"/>
            <wp:wrapTight wrapText="bothSides">
              <wp:wrapPolygon>
                <wp:start x="8270" y="1708"/>
                <wp:lineTo x="5351" y="1708"/>
                <wp:lineTo x="5157" y="1953"/>
                <wp:lineTo x="5157" y="20014"/>
                <wp:lineTo x="12551" y="20014"/>
                <wp:lineTo x="12551" y="17329"/>
                <wp:lineTo x="19849" y="17329"/>
                <wp:lineTo x="21503" y="16597"/>
                <wp:lineTo x="21503" y="7566"/>
                <wp:lineTo x="20335" y="7078"/>
                <wp:lineTo x="12551" y="5614"/>
                <wp:lineTo x="12746" y="2197"/>
                <wp:lineTo x="12259" y="1708"/>
                <wp:lineTo x="9341" y="1708"/>
                <wp:lineTo x="8270" y="1708"/>
              </wp:wrapPolygon>
            </wp:wrapTight>
            <wp:docPr id="9" name="对象 9"/>
            <wp:cNvGraphicFramePr>
              <a:graphicFrameLocks xmlns:a="http://schemas.openxmlformats.org/drawingml/2006/main" noChangeAspect="true"/>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adjustRightInd w:val="0"/>
        <w:snapToGrid w:val="0"/>
        <w:spacing w:line="576" w:lineRule="exact"/>
      </w:pPr>
    </w:p>
    <w:p>
      <w:pPr>
        <w:adjustRightInd w:val="0"/>
        <w:snapToGrid w:val="0"/>
        <w:spacing w:line="576" w:lineRule="exact"/>
      </w:pPr>
    </w:p>
    <w:p>
      <w:pPr>
        <w:adjustRightInd w:val="0"/>
        <w:snapToGrid w:val="0"/>
        <w:spacing w:line="576" w:lineRule="exact"/>
      </w:pPr>
    </w:p>
    <w:p>
      <w:pPr>
        <w:adjustRightInd w:val="0"/>
        <w:snapToGrid w:val="0"/>
        <w:spacing w:line="576" w:lineRule="exact"/>
        <w:ind w:firstLine="640" w:firstLineChars="200"/>
        <w:rPr>
          <w:rFonts w:hint="eastAsia" w:ascii="仿宋" w:hAnsi="仿宋" w:eastAsia="仿宋"/>
          <w:sz w:val="32"/>
          <w:szCs w:val="32"/>
        </w:rPr>
      </w:pPr>
    </w:p>
    <w:p>
      <w:pPr>
        <w:adjustRightInd w:val="0"/>
        <w:snapToGrid w:val="0"/>
        <w:spacing w:line="576" w:lineRule="exact"/>
        <w:ind w:firstLine="640" w:firstLineChars="200"/>
      </w:pPr>
      <w:r>
        <w:rPr>
          <w:rFonts w:hint="eastAsia" w:ascii="仿宋" w:hAnsi="仿宋" w:eastAsia="仿宋"/>
          <w:sz w:val="32"/>
          <w:szCs w:val="32"/>
        </w:rPr>
        <w:t>（图3：支出决算结构图）（饼状图）</w:t>
      </w:r>
    </w:p>
    <w:p>
      <w:pPr>
        <w:pStyle w:val="6"/>
        <w:adjustRightInd w:val="0"/>
        <w:snapToGrid w:val="0"/>
        <w:spacing w:line="576" w:lineRule="exact"/>
        <w:ind w:firstLine="627" w:firstLineChars="196"/>
        <w:rPr>
          <w:rStyle w:val="32"/>
          <w:rFonts w:hint="eastAsia" w:ascii="黑体" w:hAnsi="黑体" w:eastAsia="黑体"/>
          <w:b w:val="0"/>
          <w:bCs w:val="0"/>
        </w:rPr>
      </w:pPr>
      <w:bookmarkStart w:id="31" w:name="_Toc15377208"/>
      <w:bookmarkStart w:id="32" w:name="_Toc25172"/>
      <w:bookmarkStart w:id="33" w:name="_Toc15396606"/>
      <w:r>
        <w:rPr>
          <w:rFonts w:hint="eastAsia" w:ascii="黑体" w:hAnsi="黑体" w:eastAsia="黑体"/>
          <w:b w:val="0"/>
        </w:rPr>
        <w:t>四、</w:t>
      </w:r>
      <w:r>
        <w:rPr>
          <w:rFonts w:hint="eastAsia" w:ascii="黑体" w:hAnsi="黑体" w:eastAsia="黑体"/>
        </w:rPr>
        <w:t>财</w:t>
      </w:r>
      <w:r>
        <w:rPr>
          <w:rStyle w:val="32"/>
          <w:rFonts w:hint="eastAsia" w:ascii="黑体" w:hAnsi="黑体" w:eastAsia="黑体"/>
          <w:b w:val="0"/>
          <w:bCs w:val="0"/>
        </w:rPr>
        <w:t>政拨款收入支出决算总体情况说明</w:t>
      </w:r>
      <w:bookmarkEnd w:id="31"/>
      <w:bookmarkEnd w:id="32"/>
      <w:bookmarkEnd w:id="33"/>
    </w:p>
    <w:p>
      <w:pPr>
        <w:adjustRightInd w:val="0"/>
        <w:snapToGrid w:val="0"/>
        <w:spacing w:line="576" w:lineRule="exact"/>
        <w:ind w:firstLine="640"/>
        <w:rPr>
          <w:rFonts w:hint="eastAsia" w:ascii="仿宋" w:hAnsi="仿宋" w:eastAsia="仿宋"/>
          <w:sz w:val="32"/>
          <w:szCs w:val="32"/>
        </w:rPr>
      </w:pPr>
      <w:r>
        <w:rPr>
          <w:rFonts w:hint="eastAsia" w:ascii="Times New Roman" w:hAnsi="Times New Roman" w:eastAsia="方正仿宋_GBK" w:cs="Times New Roman"/>
          <w:sz w:val="32"/>
          <w:szCs w:val="32"/>
          <w:lang w:val="en-US" w:eastAsia="zh-CN"/>
        </w:rPr>
        <w:t>2024年财政拨款收、支总计</w:t>
      </w:r>
      <w:r>
        <w:rPr>
          <w:rFonts w:hint="eastAsia" w:ascii="Times New Roman" w:hAnsi="Times New Roman" w:eastAsia="仿宋_GB2312" w:cs="仿宋_GB2312"/>
          <w:color w:val="auto"/>
          <w:kern w:val="2"/>
          <w:sz w:val="32"/>
          <w:szCs w:val="32"/>
          <w:highlight w:val="none"/>
          <w:lang w:val="en-US" w:eastAsia="zh-CN" w:bidi="ar-SA"/>
        </w:rPr>
        <w:t>均为</w:t>
      </w:r>
      <w:r>
        <w:rPr>
          <w:rFonts w:hint="eastAsia" w:ascii="Times New Roman" w:hAnsi="Times New Roman" w:eastAsia="方正仿宋_GBK" w:cs="Times New Roman"/>
          <w:sz w:val="32"/>
          <w:szCs w:val="32"/>
          <w:lang w:val="en-US" w:eastAsia="zh-CN"/>
        </w:rPr>
        <w:t>768.2万元。与2023年相比，财政拨款收、支总计均减少了18.35万元，降低2.33%。主要变动原因是2023</w:t>
      </w:r>
      <w:r>
        <w:rPr>
          <w:rFonts w:hint="eastAsia" w:ascii="方正仿宋_GBK" w:hAnsi="方正仿宋_GBK" w:eastAsia="方正仿宋_GBK" w:cs="方正仿宋_GBK"/>
          <w:sz w:val="32"/>
          <w:szCs w:val="32"/>
          <w:lang w:val="en-US" w:eastAsia="zh-CN"/>
        </w:rPr>
        <w:t>年末单位行政人员退休较多，虽有新进入人员，都为事业人员，</w:t>
      </w:r>
      <w:r>
        <w:rPr>
          <w:rFonts w:hint="eastAsia" w:ascii="Times New Roman" w:hAnsi="Times New Roman" w:eastAsia="方正仿宋_GBK" w:cs="Times New Roman"/>
          <w:sz w:val="32"/>
          <w:szCs w:val="32"/>
          <w:lang w:val="en-US" w:eastAsia="zh-CN"/>
        </w:rPr>
        <w:t>导致</w:t>
      </w:r>
      <w:r>
        <w:rPr>
          <w:rFonts w:hint="eastAsia" w:ascii="方正仿宋_GBK" w:hAnsi="方正仿宋_GBK" w:eastAsia="方正仿宋_GBK" w:cs="方正仿宋_GBK"/>
          <w:sz w:val="32"/>
          <w:szCs w:val="32"/>
          <w:lang w:val="en-US" w:eastAsia="zh-CN"/>
        </w:rPr>
        <w:t>人员经费较上一年度减少较多</w:t>
      </w:r>
      <w:r>
        <w:rPr>
          <w:rFonts w:hint="eastAsia" w:ascii="方正仿宋_GBK" w:hAnsi="方正仿宋_GBK" w:eastAsia="方正仿宋_GBK" w:cs="方正仿宋_GBK"/>
          <w:sz w:val="32"/>
          <w:szCs w:val="32"/>
        </w:rPr>
        <w:t>。</w:t>
      </w:r>
    </w:p>
    <w:p>
      <w:pPr>
        <w:adjustRightInd w:val="0"/>
        <w:snapToGrid w:val="0"/>
        <w:spacing w:line="576" w:lineRule="exact"/>
        <w:ind w:firstLine="640" w:firstLineChars="200"/>
        <w:rPr>
          <w:rFonts w:hint="eastAsia" w:ascii="仿宋" w:hAnsi="仿宋" w:eastAsia="仿宋"/>
          <w:sz w:val="32"/>
          <w:szCs w:val="32"/>
        </w:rPr>
      </w:pPr>
      <w:r>
        <w:rPr>
          <w:rFonts w:hint="eastAsia" w:ascii="黑体" w:hAnsi="黑体" w:eastAsia="黑体"/>
          <w:color w:val="000000"/>
          <w:sz w:val="32"/>
          <w:szCs w:val="32"/>
        </w:rPr>
        <w:drawing>
          <wp:anchor distT="0" distB="0" distL="114300" distR="114300" simplePos="0" relativeHeight="251651072" behindDoc="1" locked="0" layoutInCell="1" allowOverlap="1">
            <wp:simplePos x="0" y="0"/>
            <wp:positionH relativeFrom="column">
              <wp:posOffset>590550</wp:posOffset>
            </wp:positionH>
            <wp:positionV relativeFrom="paragraph">
              <wp:posOffset>61595</wp:posOffset>
            </wp:positionV>
            <wp:extent cx="4362450" cy="2133600"/>
            <wp:effectExtent l="0" t="0" r="0" b="0"/>
            <wp:wrapTight wrapText="bothSides">
              <wp:wrapPolygon>
                <wp:start x="566" y="0"/>
                <wp:lineTo x="566" y="1157"/>
                <wp:lineTo x="1981" y="3086"/>
                <wp:lineTo x="660" y="3664"/>
                <wp:lineTo x="660" y="5207"/>
                <wp:lineTo x="2735" y="6171"/>
                <wp:lineTo x="755" y="7714"/>
                <wp:lineTo x="566" y="8100"/>
                <wp:lineTo x="660" y="12343"/>
                <wp:lineTo x="755" y="13114"/>
                <wp:lineTo x="2264" y="15429"/>
                <wp:lineTo x="660" y="15429"/>
                <wp:lineTo x="755" y="16971"/>
                <wp:lineTo x="3773" y="18514"/>
                <wp:lineTo x="3773" y="20250"/>
                <wp:lineTo x="13677" y="20250"/>
                <wp:lineTo x="13866" y="18707"/>
                <wp:lineTo x="14243" y="18514"/>
                <wp:lineTo x="15469" y="16200"/>
                <wp:lineTo x="15469" y="15429"/>
                <wp:lineTo x="16224" y="15429"/>
                <wp:lineTo x="21411" y="12729"/>
                <wp:lineTo x="21506" y="4243"/>
                <wp:lineTo x="20751" y="3857"/>
                <wp:lineTo x="15469" y="3086"/>
                <wp:lineTo x="15658" y="771"/>
                <wp:lineTo x="14903" y="579"/>
                <wp:lineTo x="2358" y="0"/>
                <wp:lineTo x="566" y="0"/>
              </wp:wrapPolygon>
            </wp:wrapTight>
            <wp:docPr id="3" name="对象 2"/>
            <wp:cNvGraphicFramePr>
              <a:graphicFrameLocks xmlns:a="http://schemas.openxmlformats.org/drawingml/2006/main" noChangeAspect="true"/>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adjustRightInd w:val="0"/>
        <w:snapToGrid w:val="0"/>
        <w:spacing w:line="576" w:lineRule="exact"/>
        <w:ind w:firstLine="640" w:firstLineChars="200"/>
        <w:rPr>
          <w:rFonts w:hint="eastAsia" w:ascii="仿宋" w:hAnsi="仿宋" w:eastAsia="仿宋"/>
          <w:sz w:val="32"/>
          <w:szCs w:val="32"/>
        </w:rPr>
      </w:pPr>
    </w:p>
    <w:p>
      <w:pPr>
        <w:adjustRightInd w:val="0"/>
        <w:snapToGrid w:val="0"/>
        <w:spacing w:line="576" w:lineRule="exact"/>
        <w:ind w:firstLine="640" w:firstLineChars="200"/>
        <w:rPr>
          <w:rFonts w:hint="eastAsia" w:ascii="仿宋" w:hAnsi="仿宋" w:eastAsia="仿宋"/>
          <w:sz w:val="32"/>
          <w:szCs w:val="32"/>
        </w:rPr>
      </w:pPr>
    </w:p>
    <w:p>
      <w:pPr>
        <w:adjustRightInd w:val="0"/>
        <w:snapToGrid w:val="0"/>
        <w:spacing w:line="576" w:lineRule="exact"/>
        <w:ind w:firstLine="640" w:firstLineChars="200"/>
        <w:rPr>
          <w:rFonts w:hint="eastAsia" w:ascii="仿宋" w:hAnsi="仿宋" w:eastAsia="仿宋"/>
          <w:sz w:val="32"/>
          <w:szCs w:val="32"/>
        </w:rPr>
      </w:pPr>
    </w:p>
    <w:p>
      <w:pPr>
        <w:adjustRightInd w:val="0"/>
        <w:snapToGrid w:val="0"/>
        <w:spacing w:line="576" w:lineRule="exact"/>
        <w:rPr>
          <w:rFonts w:hint="eastAsia" w:ascii="仿宋" w:hAnsi="仿宋" w:eastAsia="仿宋"/>
          <w:sz w:val="32"/>
          <w:szCs w:val="32"/>
        </w:rPr>
      </w:pPr>
    </w:p>
    <w:p>
      <w:pPr>
        <w:adjustRightInd w:val="0"/>
        <w:snapToGrid w:val="0"/>
        <w:spacing w:line="576" w:lineRule="exact"/>
        <w:rPr>
          <w:rFonts w:hint="eastAsia" w:ascii="仿宋" w:hAnsi="仿宋" w:eastAsia="仿宋"/>
          <w:sz w:val="32"/>
          <w:szCs w:val="32"/>
        </w:rPr>
      </w:pPr>
    </w:p>
    <w:p>
      <w:pPr>
        <w:adjustRightInd w:val="0"/>
        <w:snapToGrid w:val="0"/>
        <w:spacing w:line="576" w:lineRule="exact"/>
        <w:ind w:firstLine="640" w:firstLineChars="200"/>
        <w:rPr>
          <w:rFonts w:hint="eastAsia" w:ascii="仿宋" w:hAnsi="仿宋" w:eastAsia="仿宋"/>
          <w:sz w:val="32"/>
          <w:szCs w:val="32"/>
        </w:rPr>
      </w:pPr>
      <w:r>
        <w:rPr>
          <w:rFonts w:hint="eastAsia" w:ascii="仿宋" w:hAnsi="仿宋" w:eastAsia="仿宋"/>
          <w:sz w:val="32"/>
          <w:szCs w:val="32"/>
        </w:rPr>
        <w:t>（图4：财政拨款收、支决算总计变动情况）（柱状图）</w:t>
      </w:r>
    </w:p>
    <w:p>
      <w:pPr>
        <w:pStyle w:val="6"/>
        <w:adjustRightInd w:val="0"/>
        <w:snapToGrid w:val="0"/>
        <w:spacing w:line="576" w:lineRule="exact"/>
        <w:ind w:firstLine="640" w:firstLineChars="200"/>
        <w:rPr>
          <w:rStyle w:val="32"/>
          <w:rFonts w:hint="eastAsia" w:ascii="黑体" w:hAnsi="黑体" w:eastAsia="黑体"/>
          <w:b/>
          <w:bCs w:val="0"/>
        </w:rPr>
      </w:pPr>
      <w:bookmarkStart w:id="34" w:name="_Toc571"/>
      <w:bookmarkStart w:id="35" w:name="_Toc15396607"/>
      <w:bookmarkStart w:id="36" w:name="_Toc15377209"/>
      <w:r>
        <w:rPr>
          <w:rFonts w:hint="eastAsia" w:ascii="黑体" w:hAnsi="黑体" w:eastAsia="黑体"/>
          <w:b w:val="0"/>
        </w:rPr>
        <w:t>五、</w:t>
      </w:r>
      <w:r>
        <w:rPr>
          <w:rFonts w:hint="eastAsia" w:ascii="黑体" w:hAnsi="黑体" w:eastAsia="黑体"/>
        </w:rPr>
        <w:t>一</w:t>
      </w:r>
      <w:r>
        <w:rPr>
          <w:rStyle w:val="32"/>
          <w:rFonts w:hint="eastAsia" w:ascii="黑体" w:hAnsi="黑体" w:eastAsia="黑体"/>
          <w:b w:val="0"/>
          <w:bCs w:val="0"/>
        </w:rPr>
        <w:t>般公共预算财政拨款支出决算情况说明</w:t>
      </w:r>
      <w:bookmarkEnd w:id="34"/>
      <w:bookmarkEnd w:id="35"/>
      <w:bookmarkEnd w:id="36"/>
    </w:p>
    <w:p>
      <w:pPr>
        <w:pStyle w:val="7"/>
        <w:ind w:firstLine="642" w:firstLineChars="200"/>
        <w:rPr>
          <w:rFonts w:ascii="楷体_GB2312" w:eastAsia="楷体_GB2312"/>
        </w:rPr>
      </w:pPr>
      <w:bookmarkStart w:id="37" w:name="_Toc15377210"/>
      <w:bookmarkStart w:id="38" w:name="_Toc17760"/>
      <w:r>
        <w:rPr>
          <w:rFonts w:hint="eastAsia" w:ascii="楷体_GB2312" w:eastAsia="楷体_GB2312"/>
        </w:rPr>
        <w:t>（一）一般公共预算财政拨款支出决算总体情况</w:t>
      </w:r>
      <w:bookmarkEnd w:id="37"/>
      <w:bookmarkEnd w:id="38"/>
    </w:p>
    <w:p>
      <w:pPr>
        <w:adjustRightInd w:val="0"/>
        <w:snapToGrid w:val="0"/>
        <w:spacing w:line="576" w:lineRule="exact"/>
        <w:ind w:firstLine="640" w:firstLineChars="200"/>
        <w:rPr>
          <w:rFonts w:hint="eastAsia" w:ascii="仿宋" w:hAnsi="仿宋" w:eastAsia="仿宋"/>
          <w:sz w:val="32"/>
          <w:szCs w:val="32"/>
        </w:rPr>
      </w:pPr>
      <w:r>
        <w:rPr>
          <w:rFonts w:hint="eastAsia" w:ascii="Times New Roman" w:hAnsi="Times New Roman" w:eastAsia="方正仿宋_GBK" w:cs="Times New Roman"/>
          <w:sz w:val="32"/>
          <w:szCs w:val="32"/>
          <w:lang w:val="en-US" w:eastAsia="zh-CN"/>
        </w:rPr>
        <w:t>2024年一般公共预算财政拨款支出768.2万元，占本年支出合计的100%。与2023年相比，一般公共预算财政拨款支出减少了8.89万元，降低1.14%。主要变动原因是2023</w:t>
      </w:r>
      <w:r>
        <w:rPr>
          <w:rFonts w:hint="eastAsia" w:ascii="方正仿宋_GBK" w:hAnsi="方正仿宋_GBK" w:eastAsia="方正仿宋_GBK" w:cs="方正仿宋_GBK"/>
          <w:sz w:val="32"/>
          <w:szCs w:val="32"/>
          <w:lang w:val="en-US" w:eastAsia="zh-CN"/>
        </w:rPr>
        <w:t>年末单位行政人员退休较多，虽有新进入人员，都为事业人员，</w:t>
      </w:r>
      <w:r>
        <w:rPr>
          <w:rFonts w:hint="eastAsia" w:ascii="Times New Roman" w:hAnsi="Times New Roman" w:eastAsia="方正仿宋_GBK" w:cs="Times New Roman"/>
          <w:sz w:val="32"/>
          <w:szCs w:val="32"/>
          <w:lang w:val="en-US" w:eastAsia="zh-CN"/>
        </w:rPr>
        <w:t>导致</w:t>
      </w:r>
      <w:r>
        <w:rPr>
          <w:rFonts w:hint="eastAsia" w:ascii="方正仿宋_GBK" w:hAnsi="方正仿宋_GBK" w:eastAsia="方正仿宋_GBK" w:cs="方正仿宋_GBK"/>
          <w:sz w:val="32"/>
          <w:szCs w:val="32"/>
          <w:lang w:val="en-US" w:eastAsia="zh-CN"/>
        </w:rPr>
        <w:t>人员经费较上一年度减少较多</w:t>
      </w:r>
      <w:r>
        <w:rPr>
          <w:rFonts w:hint="eastAsia" w:ascii="方正仿宋_GBK" w:hAnsi="方正仿宋_GBK" w:eastAsia="方正仿宋_GBK" w:cs="方正仿宋_GBK"/>
          <w:sz w:val="32"/>
          <w:szCs w:val="32"/>
        </w:rPr>
        <w:t>。</w:t>
      </w:r>
    </w:p>
    <w:p>
      <w:pPr>
        <w:adjustRightInd w:val="0"/>
        <w:snapToGrid w:val="0"/>
        <w:spacing w:line="576" w:lineRule="exact"/>
        <w:ind w:firstLine="640" w:firstLineChars="200"/>
        <w:rPr>
          <w:rFonts w:hint="eastAsia" w:ascii="仿宋" w:hAnsi="仿宋" w:eastAsia="仿宋"/>
          <w:sz w:val="32"/>
          <w:szCs w:val="32"/>
        </w:rPr>
      </w:pPr>
      <w:r>
        <w:rPr>
          <w:rFonts w:hint="eastAsia" w:ascii="Times New Roman" w:hAnsi="Times New Roman" w:eastAsia="方正仿宋_GBK" w:cs="Times New Roman"/>
          <w:sz w:val="32"/>
          <w:szCs w:val="32"/>
          <w:lang w:val="en-US" w:eastAsia="zh-CN"/>
        </w:rPr>
        <w:drawing>
          <wp:anchor distT="0" distB="0" distL="114300" distR="114300" simplePos="0" relativeHeight="251658240" behindDoc="0" locked="0" layoutInCell="1" allowOverlap="1">
            <wp:simplePos x="0" y="0"/>
            <wp:positionH relativeFrom="column">
              <wp:posOffset>-9525</wp:posOffset>
            </wp:positionH>
            <wp:positionV relativeFrom="paragraph">
              <wp:posOffset>200660</wp:posOffset>
            </wp:positionV>
            <wp:extent cx="5610225" cy="2343150"/>
            <wp:effectExtent l="0" t="0" r="0" b="0"/>
            <wp:wrapSquare wrapText="bothSides"/>
            <wp:docPr id="4" name="对象 2"/>
            <wp:cNvGraphicFramePr>
              <a:graphicFrameLocks xmlns:a="http://schemas.openxmlformats.org/drawingml/2006/main" noChangeAspect="true"/>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sz w:val="32"/>
          <w:szCs w:val="32"/>
        </w:rPr>
        <w:t>（图5：一般公共预算财政拨款支出决算变动情况）（柱状图）</w:t>
      </w:r>
    </w:p>
    <w:p>
      <w:pPr>
        <w:pStyle w:val="7"/>
        <w:ind w:firstLine="642" w:firstLineChars="200"/>
        <w:rPr>
          <w:rFonts w:ascii="楷体_GB2312" w:eastAsia="楷体_GB2312"/>
        </w:rPr>
      </w:pPr>
      <w:bookmarkStart w:id="39" w:name="_Toc15377211"/>
      <w:bookmarkStart w:id="40" w:name="_Toc6864"/>
      <w:r>
        <w:rPr>
          <w:rFonts w:hint="eastAsia" w:ascii="楷体_GB2312" w:eastAsia="楷体_GB2312"/>
        </w:rPr>
        <w:t>（二）一般公共预算财政拨款支出决算结构情况</w:t>
      </w:r>
      <w:bookmarkEnd w:id="39"/>
      <w:bookmarkEnd w:id="40"/>
    </w:p>
    <w:p>
      <w:pPr>
        <w:adjustRightInd w:val="0"/>
        <w:snapToGrid w:val="0"/>
        <w:spacing w:line="576" w:lineRule="exact"/>
        <w:ind w:firstLine="640"/>
        <w:rPr>
          <w:rFonts w:hint="eastAsia" w:ascii="仿宋_GB2312" w:hAnsi="仿宋" w:eastAsia="仿宋_GB2312"/>
          <w:sz w:val="32"/>
          <w:szCs w:val="32"/>
        </w:rPr>
      </w:pPr>
      <w:r>
        <w:rPr>
          <w:rFonts w:hint="eastAsia" w:ascii="Times New Roman" w:hAnsi="Times New Roman" w:eastAsia="方正仿宋_GBK" w:cs="Times New Roman"/>
          <w:sz w:val="32"/>
          <w:szCs w:val="32"/>
          <w:lang w:val="en-US" w:eastAsia="zh-CN"/>
        </w:rPr>
        <w:t>2024年一般公共预算财政拨款支出768.2万元，主要用于以下方面:一般公共服务支出516.64万元，占67.26%；社会保障和就业支出141.01万元，占18.36%；卫生健康支出26.68万元，占3.47%；农林水支出50.26万元，占6.54%；住房保障支出33.6万元，占4.37%。</w:t>
      </w:r>
    </w:p>
    <w:p>
      <w:pPr>
        <w:adjustRightInd w:val="0"/>
        <w:snapToGrid w:val="0"/>
        <w:spacing w:line="576" w:lineRule="exact"/>
        <w:ind w:firstLine="640" w:firstLineChars="200"/>
        <w:outlineLvl w:val="2"/>
        <w:rPr>
          <w:rFonts w:hint="eastAsia" w:ascii="仿宋" w:hAnsi="仿宋" w:eastAsia="仿宋"/>
          <w:sz w:val="32"/>
          <w:szCs w:val="32"/>
        </w:rPr>
      </w:pPr>
      <w:bookmarkStart w:id="41" w:name="_Toc176901967"/>
      <w:bookmarkStart w:id="42" w:name="_Toc176901090"/>
      <w:bookmarkStart w:id="43" w:name="_Toc176901896"/>
      <w:bookmarkStart w:id="44" w:name="_Toc176901235"/>
      <w:bookmarkStart w:id="45" w:name="_Toc15377212"/>
      <w:r>
        <w:rPr>
          <w:rFonts w:hint="eastAsia" w:ascii="仿宋" w:hAnsi="仿宋" w:eastAsia="仿宋"/>
          <w:sz w:val="32"/>
          <w:szCs w:val="32"/>
        </w:rPr>
        <w:drawing>
          <wp:anchor distT="0" distB="0" distL="114300" distR="114300" simplePos="0" relativeHeight="251669504" behindDoc="1" locked="0" layoutInCell="1" allowOverlap="0">
            <wp:simplePos x="0" y="0"/>
            <wp:positionH relativeFrom="column">
              <wp:posOffset>38100</wp:posOffset>
            </wp:positionH>
            <wp:positionV relativeFrom="paragraph">
              <wp:posOffset>219075</wp:posOffset>
            </wp:positionV>
            <wp:extent cx="4876800" cy="1476375"/>
            <wp:effectExtent l="0" t="0" r="0" b="0"/>
            <wp:wrapSquare wrapText="bothSides"/>
            <wp:docPr id="5" name="对象 2"/>
            <wp:cNvGraphicFramePr>
              <a:graphicFrameLocks xmlns:a="http://schemas.openxmlformats.org/drawingml/2006/main" noChangeAspect="true"/>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bookmarkEnd w:id="41"/>
      <w:bookmarkEnd w:id="42"/>
      <w:bookmarkEnd w:id="43"/>
      <w:bookmarkEnd w:id="44"/>
    </w:p>
    <w:p>
      <w:pPr>
        <w:adjustRightInd w:val="0"/>
        <w:snapToGrid w:val="0"/>
        <w:spacing w:line="576" w:lineRule="exact"/>
        <w:outlineLvl w:val="2"/>
        <w:rPr>
          <w:rFonts w:hint="eastAsia" w:ascii="仿宋" w:hAnsi="仿宋" w:eastAsia="仿宋"/>
          <w:sz w:val="32"/>
          <w:szCs w:val="32"/>
        </w:rPr>
      </w:pPr>
    </w:p>
    <w:p>
      <w:pPr>
        <w:adjustRightInd w:val="0"/>
        <w:snapToGrid w:val="0"/>
        <w:spacing w:line="576" w:lineRule="exact"/>
        <w:ind w:firstLine="640" w:firstLineChars="200"/>
        <w:outlineLvl w:val="2"/>
        <w:rPr>
          <w:rFonts w:hint="eastAsia" w:ascii="仿宋" w:hAnsi="仿宋" w:eastAsia="仿宋"/>
          <w:sz w:val="32"/>
          <w:szCs w:val="32"/>
        </w:rPr>
      </w:pPr>
      <w:bookmarkStart w:id="46" w:name="_Toc176901897"/>
      <w:bookmarkStart w:id="47" w:name="_Toc176901236"/>
      <w:bookmarkStart w:id="48" w:name="_Toc176901091"/>
      <w:bookmarkStart w:id="49" w:name="_Toc176901968"/>
    </w:p>
    <w:p>
      <w:pPr>
        <w:adjustRightInd w:val="0"/>
        <w:snapToGrid w:val="0"/>
        <w:spacing w:line="576" w:lineRule="exact"/>
        <w:ind w:firstLine="640" w:firstLineChars="200"/>
        <w:outlineLvl w:val="2"/>
        <w:rPr>
          <w:rFonts w:hint="eastAsia" w:ascii="仿宋" w:hAnsi="仿宋" w:eastAsia="仿宋"/>
          <w:sz w:val="32"/>
          <w:szCs w:val="32"/>
        </w:rPr>
      </w:pPr>
    </w:p>
    <w:p>
      <w:pPr>
        <w:adjustRightInd w:val="0"/>
        <w:snapToGrid w:val="0"/>
        <w:spacing w:line="576" w:lineRule="exact"/>
        <w:ind w:firstLine="640" w:firstLineChars="200"/>
        <w:outlineLvl w:val="2"/>
        <w:rPr>
          <w:rFonts w:hint="eastAsia" w:ascii="仿宋" w:hAnsi="仿宋" w:eastAsia="仿宋"/>
          <w:sz w:val="32"/>
          <w:szCs w:val="32"/>
        </w:rPr>
      </w:pPr>
    </w:p>
    <w:p>
      <w:pPr>
        <w:adjustRightInd w:val="0"/>
        <w:snapToGrid w:val="0"/>
        <w:spacing w:line="576" w:lineRule="exact"/>
        <w:ind w:firstLine="640" w:firstLineChars="200"/>
        <w:outlineLvl w:val="2"/>
        <w:rPr>
          <w:rFonts w:hint="eastAsia"/>
        </w:rPr>
      </w:pPr>
      <w:bookmarkStart w:id="50" w:name="_Toc23803"/>
      <w:bookmarkStart w:id="51" w:name="_Toc8027"/>
      <w:bookmarkStart w:id="52" w:name="_Toc421"/>
      <w:r>
        <w:rPr>
          <w:rFonts w:hint="eastAsia" w:ascii="仿宋" w:hAnsi="仿宋" w:eastAsia="仿宋"/>
          <w:sz w:val="32"/>
          <w:szCs w:val="32"/>
        </w:rPr>
        <w:t>（图6：一般公共预算财政拨款支出决算结构）（饼状图）</w:t>
      </w:r>
      <w:bookmarkEnd w:id="46"/>
      <w:bookmarkEnd w:id="47"/>
      <w:bookmarkEnd w:id="48"/>
      <w:bookmarkEnd w:id="49"/>
      <w:bookmarkEnd w:id="50"/>
      <w:bookmarkEnd w:id="51"/>
      <w:bookmarkEnd w:id="52"/>
    </w:p>
    <w:p>
      <w:pPr>
        <w:pStyle w:val="7"/>
        <w:ind w:firstLine="642" w:firstLineChars="200"/>
        <w:rPr>
          <w:rFonts w:ascii="楷体_GB2312" w:eastAsia="楷体_GB2312"/>
        </w:rPr>
      </w:pPr>
      <w:bookmarkStart w:id="53" w:name="_Toc24795"/>
      <w:r>
        <w:rPr>
          <w:rFonts w:hint="eastAsia" w:ascii="楷体_GB2312" w:eastAsia="楷体_GB2312"/>
        </w:rPr>
        <w:t>（三）一般公共预算财政拨款支出决算具体情况</w:t>
      </w:r>
      <w:bookmarkEnd w:id="45"/>
      <w:bookmarkEnd w:id="53"/>
    </w:p>
    <w:p>
      <w:pPr>
        <w:adjustRightInd w:val="0"/>
        <w:snapToGrid w:val="0"/>
        <w:spacing w:line="576" w:lineRule="exact"/>
        <w:ind w:firstLine="640"/>
        <w:rPr>
          <w:rFonts w:hint="eastAsia" w:ascii="Times New Roman" w:hAnsi="Times New Roman" w:eastAsia="方正仿宋_GBK" w:cs="Times New Roman"/>
          <w:sz w:val="32"/>
          <w:szCs w:val="32"/>
          <w:lang w:val="en-US" w:eastAsia="zh-CN"/>
        </w:rPr>
      </w:pPr>
      <w:bookmarkStart w:id="54" w:name="_Toc15378460"/>
      <w:bookmarkStart w:id="55" w:name="_Toc15377213"/>
      <w:bookmarkStart w:id="56" w:name="_Toc15377444"/>
      <w:r>
        <w:rPr>
          <w:rFonts w:hint="eastAsia" w:ascii="Times New Roman" w:hAnsi="Times New Roman" w:eastAsia="方正仿宋_GBK" w:cs="Times New Roman"/>
          <w:sz w:val="32"/>
          <w:szCs w:val="32"/>
          <w:lang w:val="en-US" w:eastAsia="zh-CN"/>
        </w:rPr>
        <w:t>2024年一般公共预算支出决算数为768.2万元，完成预算100%。其中：</w:t>
      </w:r>
      <w:bookmarkEnd w:id="54"/>
      <w:bookmarkEnd w:id="55"/>
      <w:bookmarkEnd w:id="56"/>
    </w:p>
    <w:p>
      <w:pPr>
        <w:adjustRightInd w:val="0"/>
        <w:snapToGrid w:val="0"/>
        <w:spacing w:line="576" w:lineRule="exact"/>
        <w:ind w:firstLine="64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1.一般公共服务支出（类）民族事务（款）行政运行（项）:支出决算为229.99万元，完成预算100%。</w:t>
      </w:r>
    </w:p>
    <w:p>
      <w:pPr>
        <w:adjustRightInd w:val="0"/>
        <w:snapToGrid w:val="0"/>
        <w:spacing w:line="576" w:lineRule="exact"/>
        <w:ind w:firstLine="64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一般公共服务支出（类）民族事务（款）事业运行（项）：支出决算为111.91万元，完成预算100%。</w:t>
      </w:r>
    </w:p>
    <w:p>
      <w:pPr>
        <w:adjustRightInd w:val="0"/>
        <w:snapToGrid w:val="0"/>
        <w:spacing w:line="576" w:lineRule="exact"/>
        <w:ind w:firstLine="64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一般公共服务支出（类）民族事务（款）其他民族事务支出（项）：支出决算为173.21万元，完成预算100%。</w:t>
      </w:r>
    </w:p>
    <w:p>
      <w:pPr>
        <w:adjustRightInd w:val="0"/>
        <w:snapToGrid w:val="0"/>
        <w:spacing w:line="576" w:lineRule="exact"/>
        <w:ind w:firstLine="64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一般公共服务支出（类）组织事务（款）其他组织事务支出（项）：支出决算为1.53万元，完成预算100%。</w:t>
      </w:r>
    </w:p>
    <w:p>
      <w:pPr>
        <w:adjustRightInd w:val="0"/>
        <w:snapToGrid w:val="0"/>
        <w:spacing w:line="576" w:lineRule="exact"/>
        <w:ind w:firstLine="64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2.社会保障和就业支出（类）行政事业单位养老支出（款）行政单位离退休（项）：支出决算数为59.7万元，完成预算100%。</w:t>
      </w:r>
    </w:p>
    <w:p>
      <w:pPr>
        <w:adjustRightInd w:val="0"/>
        <w:snapToGrid w:val="0"/>
        <w:spacing w:line="576" w:lineRule="exact"/>
        <w:ind w:firstLine="64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社会保障和就业支出（类）行政事业单位养老支出（款）事业单位离退休（项）：支出决算数为8.14万元，完成预算100%。</w:t>
      </w:r>
    </w:p>
    <w:p>
      <w:pPr>
        <w:adjustRightInd w:val="0"/>
        <w:snapToGrid w:val="0"/>
        <w:spacing w:line="576" w:lineRule="exact"/>
        <w:ind w:firstLine="64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社会保障和就业支出（类）行政事业单位养老支出（款）机关事业单位基本养老保险缴费支出（项）：支出决算数为41.66万元，完成预算100%。</w:t>
      </w:r>
    </w:p>
    <w:p>
      <w:pPr>
        <w:adjustRightInd w:val="0"/>
        <w:snapToGrid w:val="0"/>
        <w:spacing w:line="576" w:lineRule="exact"/>
        <w:ind w:firstLine="64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社会保障和就业支出（类）行政事业单位养老支出（款）机关事业单位职业年金缴费支出（项）：支出决算数为7.59万元，完成预算100%。</w:t>
      </w:r>
    </w:p>
    <w:p>
      <w:pPr>
        <w:adjustRightInd w:val="0"/>
        <w:snapToGrid w:val="0"/>
        <w:spacing w:line="576" w:lineRule="exact"/>
        <w:ind w:firstLine="64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社会保障和就业支出（类）抚恤（款）死亡抚恤（项）：支出决算数为23.92万元，完成预算100%。</w:t>
      </w:r>
    </w:p>
    <w:p>
      <w:pPr>
        <w:adjustRightInd w:val="0"/>
        <w:snapToGrid w:val="0"/>
        <w:spacing w:line="576" w:lineRule="exact"/>
        <w:ind w:firstLine="64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3.卫生健康支出（类）行政事业单位医疗（款）行政单位医疗（项）：支出决算数为14.43万元，完成预算100%。</w:t>
      </w:r>
    </w:p>
    <w:p>
      <w:pPr>
        <w:adjustRightInd w:val="0"/>
        <w:snapToGrid w:val="0"/>
        <w:spacing w:line="576" w:lineRule="exact"/>
        <w:ind w:firstLine="64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卫生健康支出（类）行政事业单位医疗（款）事业单位医疗（项）：支出决算数为7.08万元，完成预算100%。</w:t>
      </w:r>
    </w:p>
    <w:p>
      <w:pPr>
        <w:adjustRightInd w:val="0"/>
        <w:snapToGrid w:val="0"/>
        <w:spacing w:line="576" w:lineRule="exact"/>
        <w:ind w:firstLine="64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卫生健康支出（类）行政事业单位医疗（款）公务员医疗补助（项）：支出决算数为2.49万元，完成预算100%。</w:t>
      </w:r>
    </w:p>
    <w:p>
      <w:pPr>
        <w:adjustRightInd w:val="0"/>
        <w:snapToGrid w:val="0"/>
        <w:spacing w:line="576" w:lineRule="exact"/>
        <w:ind w:firstLine="64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卫生健康支出（类）行政事业单位医疗（款）其他行政事业单位医疗支出（项）：支出决算数为2.68万元，完成预算100%。</w:t>
      </w:r>
    </w:p>
    <w:p>
      <w:pPr>
        <w:adjustRightInd w:val="0"/>
        <w:snapToGrid w:val="0"/>
        <w:spacing w:line="576" w:lineRule="exact"/>
        <w:ind w:firstLine="64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4.农林水支出（类）农业农村（款）其他农业农村支出（项）:支出决算数为49.75万元，完成预算100%。</w:t>
      </w:r>
    </w:p>
    <w:p>
      <w:pPr>
        <w:adjustRightInd w:val="0"/>
        <w:snapToGrid w:val="0"/>
        <w:spacing w:line="576" w:lineRule="exact"/>
        <w:ind w:firstLine="64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农林水支出（类）其他农林水支出（款）其他农林水支出（项）:支出决算数为0.51万元，完成预算100%。</w:t>
      </w:r>
    </w:p>
    <w:p>
      <w:pPr>
        <w:adjustRightInd w:val="0"/>
        <w:snapToGrid w:val="0"/>
        <w:spacing w:line="576" w:lineRule="exact"/>
        <w:ind w:firstLine="640"/>
        <w:rPr>
          <w:rFonts w:hint="eastAsia" w:ascii="仿宋" w:hAnsi="仿宋" w:eastAsia="仿宋"/>
          <w:sz w:val="32"/>
          <w:szCs w:val="32"/>
        </w:rPr>
      </w:pPr>
      <w:r>
        <w:rPr>
          <w:rFonts w:hint="eastAsia" w:ascii="Times New Roman" w:hAnsi="Times New Roman" w:eastAsia="方正仿宋_GBK" w:cs="Times New Roman"/>
          <w:sz w:val="32"/>
          <w:szCs w:val="32"/>
          <w:lang w:val="en-US" w:eastAsia="zh-CN"/>
        </w:rPr>
        <w:t>5.住房保障支出（类）住房改革支出（款）住房公积金（项）：支出决算数为33.6万元，完成预算100%。</w:t>
      </w:r>
    </w:p>
    <w:p>
      <w:pPr>
        <w:pStyle w:val="6"/>
        <w:adjustRightInd w:val="0"/>
        <w:snapToGrid w:val="0"/>
        <w:spacing w:line="576" w:lineRule="exact"/>
        <w:ind w:firstLine="640" w:firstLineChars="200"/>
        <w:rPr>
          <w:rStyle w:val="32"/>
          <w:rFonts w:hint="eastAsia" w:ascii="黑体" w:hAnsi="黑体" w:eastAsia="黑体"/>
          <w:b/>
          <w:bCs w:val="0"/>
        </w:rPr>
      </w:pPr>
      <w:bookmarkStart w:id="57" w:name="_Toc15377214"/>
      <w:bookmarkStart w:id="58" w:name="_Toc881"/>
      <w:bookmarkStart w:id="59" w:name="_Toc15396608"/>
      <w:r>
        <w:rPr>
          <w:rFonts w:hint="eastAsia" w:ascii="黑体" w:hAnsi="黑体" w:eastAsia="黑体"/>
          <w:b w:val="0"/>
        </w:rPr>
        <w:t>六、</w:t>
      </w:r>
      <w:r>
        <w:rPr>
          <w:rFonts w:hint="eastAsia" w:ascii="黑体" w:hAnsi="黑体" w:eastAsia="黑体"/>
        </w:rPr>
        <w:t>一</w:t>
      </w:r>
      <w:r>
        <w:rPr>
          <w:rStyle w:val="32"/>
          <w:rFonts w:hint="eastAsia" w:ascii="黑体" w:hAnsi="黑体" w:eastAsia="黑体"/>
          <w:b w:val="0"/>
          <w:bCs w:val="0"/>
        </w:rPr>
        <w:t>般公共预算财政拨款基本支出决算情况说明</w:t>
      </w:r>
      <w:bookmarkEnd w:id="57"/>
      <w:bookmarkEnd w:id="58"/>
      <w:bookmarkEnd w:id="59"/>
    </w:p>
    <w:p>
      <w:pPr>
        <w:adjustRightInd w:val="0"/>
        <w:snapToGrid w:val="0"/>
        <w:spacing w:line="576" w:lineRule="exact"/>
        <w:ind w:firstLine="64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2024年一般公共预算财政拨款基本支出543.2万元，其中：</w:t>
      </w:r>
    </w:p>
    <w:p>
      <w:pPr>
        <w:adjustRightInd w:val="0"/>
        <w:snapToGrid w:val="0"/>
        <w:spacing w:line="576" w:lineRule="exact"/>
        <w:ind w:firstLine="64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人员经费485.85万元，主要包括：基本工资、津贴补贴、奖金、绩效工资、机关事业单位基本养老保险缴费、职业年金缴费、职工基本医疗保险缴费、公务员医疗补助缴费、其他社会保障缴费、其他工资福利支出、抚恤金、生活补助、医疗费补助、其他对个人和家庭的补助、住房公积金等。</w:t>
      </w:r>
    </w:p>
    <w:p>
      <w:pPr>
        <w:adjustRightInd w:val="0"/>
        <w:snapToGrid w:val="0"/>
        <w:spacing w:line="576" w:lineRule="exact"/>
        <w:ind w:firstLine="640"/>
        <w:rPr>
          <w:rFonts w:hint="eastAsia" w:ascii="仿宋_GB2312" w:hAnsi="仿宋" w:eastAsia="仿宋_GB2312"/>
          <w:sz w:val="32"/>
          <w:szCs w:val="32"/>
        </w:rPr>
      </w:pPr>
      <w:r>
        <w:rPr>
          <w:rFonts w:hint="eastAsia" w:ascii="Times New Roman" w:hAnsi="Times New Roman" w:eastAsia="方正仿宋_GBK" w:cs="Times New Roman"/>
          <w:sz w:val="32"/>
          <w:szCs w:val="32"/>
          <w:lang w:val="en-US" w:eastAsia="zh-CN"/>
        </w:rPr>
        <w:t>公用经费57.34万元，主要包括：办公费、印刷费、水费、电费、邮电费、差旅费、维修（护）费、会议费、培训费、公务接待费、劳务费、委托业务费、工会经费、福利</w:t>
      </w:r>
      <w:r>
        <w:rPr>
          <w:rFonts w:hint="eastAsia" w:ascii="方正仿宋_GBK" w:hAnsi="方正仿宋_GBK" w:eastAsia="方正仿宋_GBK" w:cs="方正仿宋_GBK"/>
          <w:color w:val="000000"/>
          <w:sz w:val="32"/>
          <w:szCs w:val="32"/>
        </w:rPr>
        <w:t>费、公务用车运行维护费、其他交通费、其他商品和服务支出</w:t>
      </w:r>
      <w:r>
        <w:rPr>
          <w:rFonts w:hint="eastAsia" w:ascii="方正仿宋_GBK" w:hAnsi="方正仿宋_GBK" w:eastAsia="方正仿宋_GBK" w:cs="方正仿宋_GBK"/>
          <w:color w:val="000000"/>
          <w:sz w:val="32"/>
          <w:szCs w:val="32"/>
          <w:lang w:eastAsia="zh-CN"/>
        </w:rPr>
        <w:t>、办公设备购置</w:t>
      </w:r>
      <w:r>
        <w:rPr>
          <w:rFonts w:hint="eastAsia" w:ascii="方正仿宋_GBK" w:hAnsi="方正仿宋_GBK" w:eastAsia="方正仿宋_GBK" w:cs="方正仿宋_GBK"/>
          <w:color w:val="000000"/>
          <w:sz w:val="32"/>
          <w:szCs w:val="32"/>
        </w:rPr>
        <w:t>等</w:t>
      </w:r>
      <w:r>
        <w:rPr>
          <w:rFonts w:hint="eastAsia" w:ascii="方正仿宋_GBK" w:hAnsi="方正仿宋_GBK" w:eastAsia="方正仿宋_GBK" w:cs="方正仿宋_GBK"/>
          <w:sz w:val="32"/>
          <w:szCs w:val="32"/>
        </w:rPr>
        <w:t>。</w:t>
      </w:r>
    </w:p>
    <w:p>
      <w:pPr>
        <w:pStyle w:val="6"/>
        <w:adjustRightInd w:val="0"/>
        <w:snapToGrid w:val="0"/>
        <w:spacing w:line="576" w:lineRule="exact"/>
        <w:ind w:firstLine="627" w:firstLineChars="196"/>
        <w:rPr>
          <w:rStyle w:val="32"/>
          <w:rFonts w:hint="eastAsia" w:ascii="黑体" w:hAnsi="黑体" w:eastAsia="黑体"/>
          <w:b/>
          <w:bCs w:val="0"/>
        </w:rPr>
      </w:pPr>
      <w:bookmarkStart w:id="60" w:name="_Toc16832"/>
      <w:bookmarkStart w:id="61" w:name="_Toc15396609"/>
      <w:bookmarkStart w:id="62" w:name="_Toc15377215"/>
      <w:r>
        <w:rPr>
          <w:rFonts w:hint="eastAsia" w:ascii="黑体" w:hAnsi="黑体" w:eastAsia="黑体"/>
          <w:b w:val="0"/>
        </w:rPr>
        <w:t>七、</w:t>
      </w:r>
      <w:r>
        <w:rPr>
          <w:rStyle w:val="32"/>
          <w:rFonts w:hint="eastAsia" w:ascii="黑体" w:hAnsi="黑体" w:eastAsia="黑体"/>
          <w:b w:val="0"/>
          <w:bCs w:val="0"/>
        </w:rPr>
        <w:t>财政拨款“三公”经费支出决算情况说明</w:t>
      </w:r>
      <w:bookmarkEnd w:id="60"/>
      <w:bookmarkEnd w:id="61"/>
      <w:bookmarkEnd w:id="62"/>
    </w:p>
    <w:p>
      <w:pPr>
        <w:pStyle w:val="7"/>
        <w:ind w:firstLine="642" w:firstLineChars="200"/>
        <w:rPr>
          <w:rFonts w:ascii="楷体_GB2312" w:eastAsia="楷体_GB2312"/>
        </w:rPr>
      </w:pPr>
      <w:bookmarkStart w:id="63" w:name="_Toc15377216"/>
      <w:bookmarkStart w:id="64" w:name="_Toc17035"/>
      <w:r>
        <w:rPr>
          <w:rFonts w:hint="eastAsia" w:ascii="楷体_GB2312" w:eastAsia="楷体_GB2312"/>
        </w:rPr>
        <w:t>（一）“三公”经费财政拨款支出决算总体情况说明</w:t>
      </w:r>
      <w:bookmarkEnd w:id="63"/>
      <w:bookmarkEnd w:id="64"/>
    </w:p>
    <w:p>
      <w:pPr>
        <w:adjustRightInd w:val="0"/>
        <w:snapToGrid w:val="0"/>
        <w:spacing w:line="576" w:lineRule="exact"/>
        <w:ind w:firstLine="640"/>
        <w:rPr>
          <w:rFonts w:hint="eastAsia" w:ascii="仿宋" w:hAnsi="仿宋" w:eastAsia="仿宋"/>
          <w:sz w:val="32"/>
          <w:szCs w:val="32"/>
        </w:rPr>
      </w:pPr>
      <w:r>
        <w:rPr>
          <w:rFonts w:hint="eastAsia" w:ascii="Times New Roman" w:hAnsi="Times New Roman" w:eastAsia="方正仿宋_GBK" w:cs="Times New Roman"/>
          <w:sz w:val="32"/>
          <w:szCs w:val="32"/>
          <w:lang w:val="en-US" w:eastAsia="zh-CN"/>
        </w:rPr>
        <w:t>2024年“三公”经费财政拨款支出决算为6.0</w:t>
      </w:r>
      <w:r>
        <w:rPr>
          <w:rFonts w:hint="eastAsia" w:eastAsia="方正仿宋_GBK" w:cs="Times New Roman"/>
          <w:sz w:val="32"/>
          <w:szCs w:val="32"/>
          <w:lang w:val="en-US" w:eastAsia="zh-CN"/>
        </w:rPr>
        <w:t>78</w:t>
      </w:r>
      <w:r>
        <w:rPr>
          <w:rFonts w:hint="eastAsia" w:ascii="Times New Roman" w:hAnsi="Times New Roman" w:eastAsia="方正仿宋_GBK" w:cs="Times New Roman"/>
          <w:sz w:val="32"/>
          <w:szCs w:val="32"/>
          <w:lang w:val="en-US" w:eastAsia="zh-CN"/>
        </w:rPr>
        <w:t>万元，完成预算100%，比上年减少0.4</w:t>
      </w:r>
      <w:r>
        <w:rPr>
          <w:rFonts w:hint="eastAsia" w:eastAsia="方正仿宋_GBK" w:cs="Times New Roman"/>
          <w:sz w:val="32"/>
          <w:szCs w:val="32"/>
          <w:lang w:val="en-US" w:eastAsia="zh-CN"/>
        </w:rPr>
        <w:t>57</w:t>
      </w:r>
      <w:r>
        <w:rPr>
          <w:rFonts w:hint="eastAsia" w:ascii="Times New Roman" w:hAnsi="Times New Roman" w:eastAsia="方正仿宋_GBK" w:cs="Times New Roman"/>
          <w:sz w:val="32"/>
          <w:szCs w:val="32"/>
          <w:lang w:val="en-US" w:eastAsia="zh-CN"/>
        </w:rPr>
        <w:t>万元，降低6.99%，主要是因为本年度公务接待减少。</w:t>
      </w:r>
    </w:p>
    <w:p>
      <w:pPr>
        <w:pStyle w:val="7"/>
        <w:ind w:firstLine="642" w:firstLineChars="200"/>
        <w:rPr>
          <w:rFonts w:ascii="楷体_GB2312" w:eastAsia="楷体_GB2312"/>
        </w:rPr>
      </w:pPr>
      <w:bookmarkStart w:id="65" w:name="_Toc17204"/>
      <w:bookmarkStart w:id="66" w:name="_Toc15377217"/>
      <w:r>
        <w:rPr>
          <w:rFonts w:hint="eastAsia" w:ascii="楷体_GB2312" w:eastAsia="楷体_GB2312"/>
        </w:rPr>
        <w:t>（二）“三公”经费财政拨款支出决算具体情况说明</w:t>
      </w:r>
      <w:bookmarkEnd w:id="65"/>
      <w:bookmarkEnd w:id="66"/>
    </w:p>
    <w:p>
      <w:pPr>
        <w:adjustRightInd w:val="0"/>
        <w:snapToGrid w:val="0"/>
        <w:spacing w:line="576" w:lineRule="exact"/>
        <w:ind w:firstLine="640"/>
        <w:rPr>
          <w:rFonts w:hint="eastAsia" w:ascii="仿宋" w:hAnsi="仿宋" w:eastAsia="仿宋"/>
          <w:sz w:val="32"/>
          <w:szCs w:val="32"/>
        </w:rPr>
      </w:pPr>
      <w:r>
        <w:rPr>
          <w:rFonts w:hint="eastAsia" w:ascii="Times New Roman" w:hAnsi="Times New Roman" w:eastAsia="方正仿宋_GBK" w:cs="Times New Roman"/>
          <w:sz w:val="32"/>
          <w:szCs w:val="32"/>
          <w:lang w:val="en-US" w:eastAsia="zh-CN"/>
        </w:rPr>
        <w:t>2024年“三公”经费财政拨款支出决算中，因公出国（境）费支出决算0万元，占0%；公务用车购置及运行维护费支出决算5.36</w:t>
      </w:r>
      <w:r>
        <w:rPr>
          <w:rFonts w:hint="eastAsia" w:eastAsia="方正仿宋_GBK" w:cs="Times New Roman"/>
          <w:sz w:val="32"/>
          <w:szCs w:val="32"/>
          <w:lang w:val="en-US" w:eastAsia="zh-CN"/>
        </w:rPr>
        <w:t>5</w:t>
      </w:r>
      <w:r>
        <w:rPr>
          <w:rFonts w:hint="eastAsia" w:ascii="Times New Roman" w:hAnsi="Times New Roman" w:eastAsia="方正仿宋_GBK" w:cs="Times New Roman"/>
          <w:sz w:val="32"/>
          <w:szCs w:val="32"/>
          <w:lang w:val="en-US" w:eastAsia="zh-CN"/>
        </w:rPr>
        <w:t>万元，占88.3%；公务接待费支出决算0.71</w:t>
      </w:r>
      <w:r>
        <w:rPr>
          <w:rFonts w:hint="eastAsia" w:eastAsia="方正仿宋_GBK" w:cs="Times New Roman"/>
          <w:sz w:val="32"/>
          <w:szCs w:val="32"/>
          <w:lang w:val="en-US" w:eastAsia="zh-CN"/>
        </w:rPr>
        <w:t>3</w:t>
      </w:r>
      <w:r>
        <w:rPr>
          <w:rFonts w:hint="eastAsia" w:ascii="Times New Roman" w:hAnsi="Times New Roman" w:eastAsia="方正仿宋_GBK" w:cs="Times New Roman"/>
          <w:sz w:val="32"/>
          <w:szCs w:val="32"/>
          <w:lang w:val="en-US" w:eastAsia="zh-CN"/>
        </w:rPr>
        <w:t>万元，11.7%。具体情况如下：</w:t>
      </w:r>
    </w:p>
    <w:p>
      <w:pPr>
        <w:pStyle w:val="9"/>
        <w:adjustRightInd w:val="0"/>
        <w:snapToGrid w:val="0"/>
        <w:spacing w:before="93" w:line="576" w:lineRule="exact"/>
        <w:rPr>
          <w:rFonts w:hint="eastAsia" w:ascii="仿宋" w:hAnsi="仿宋" w:eastAsia="仿宋"/>
          <w:sz w:val="32"/>
          <w:szCs w:val="32"/>
        </w:rPr>
      </w:pPr>
      <w:r>
        <w:rPr>
          <w:rFonts w:hint="eastAsia" w:ascii="仿宋" w:hAnsi="仿宋" w:eastAsia="仿宋"/>
          <w:color w:val="000000"/>
          <w:sz w:val="32"/>
          <w:szCs w:val="32"/>
        </w:rPr>
        <w:drawing>
          <wp:anchor distT="0" distB="0" distL="114300" distR="114300" simplePos="0" relativeHeight="251676672" behindDoc="1" locked="0" layoutInCell="1" allowOverlap="1">
            <wp:simplePos x="0" y="0"/>
            <wp:positionH relativeFrom="column">
              <wp:posOffset>133350</wp:posOffset>
            </wp:positionH>
            <wp:positionV relativeFrom="paragraph">
              <wp:posOffset>38100</wp:posOffset>
            </wp:positionV>
            <wp:extent cx="4886325" cy="1724025"/>
            <wp:effectExtent l="0" t="0" r="0" b="0"/>
            <wp:wrapNone/>
            <wp:docPr id="7" name="对象 3"/>
            <wp:cNvGraphicFramePr>
              <a:graphicFrameLocks xmlns:a="http://schemas.openxmlformats.org/drawingml/2006/main" noChangeAspect="true"/>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pStyle w:val="9"/>
        <w:adjustRightInd w:val="0"/>
        <w:snapToGrid w:val="0"/>
        <w:spacing w:before="93" w:line="576" w:lineRule="exact"/>
        <w:jc w:val="center"/>
        <w:rPr>
          <w:rFonts w:hint="eastAsia" w:ascii="仿宋" w:hAnsi="仿宋" w:eastAsia="仿宋"/>
          <w:sz w:val="32"/>
          <w:szCs w:val="32"/>
        </w:rPr>
      </w:pPr>
    </w:p>
    <w:p>
      <w:pPr>
        <w:pStyle w:val="9"/>
        <w:adjustRightInd w:val="0"/>
        <w:snapToGrid w:val="0"/>
        <w:spacing w:before="93" w:line="576" w:lineRule="exact"/>
        <w:rPr>
          <w:rFonts w:hint="eastAsia" w:ascii="仿宋" w:hAnsi="仿宋" w:eastAsia="仿宋"/>
          <w:sz w:val="32"/>
          <w:szCs w:val="32"/>
        </w:rPr>
      </w:pPr>
    </w:p>
    <w:p>
      <w:pPr>
        <w:pStyle w:val="9"/>
        <w:adjustRightInd w:val="0"/>
        <w:snapToGrid w:val="0"/>
        <w:spacing w:before="93" w:line="576" w:lineRule="exact"/>
        <w:rPr>
          <w:rFonts w:hint="eastAsia" w:ascii="仿宋" w:hAnsi="仿宋" w:eastAsia="仿宋"/>
          <w:sz w:val="32"/>
          <w:szCs w:val="32"/>
        </w:rPr>
      </w:pPr>
    </w:p>
    <w:p>
      <w:pPr>
        <w:adjustRightInd w:val="0"/>
        <w:snapToGrid w:val="0"/>
        <w:spacing w:line="576" w:lineRule="exact"/>
        <w:ind w:firstLine="640"/>
        <w:rPr>
          <w:rFonts w:hint="eastAsia" w:ascii="仿宋" w:hAnsi="仿宋" w:eastAsia="仿宋"/>
          <w:sz w:val="32"/>
          <w:szCs w:val="32"/>
        </w:rPr>
      </w:pPr>
      <w:r>
        <w:rPr>
          <w:rFonts w:hint="eastAsia" w:ascii="仿宋" w:hAnsi="仿宋" w:eastAsia="仿宋"/>
          <w:sz w:val="32"/>
          <w:szCs w:val="32"/>
        </w:rPr>
        <w:t>（图7：“三公”经费财政拨款支出结构）（饼状图）</w:t>
      </w:r>
    </w:p>
    <w:p>
      <w:pPr>
        <w:adjustRightInd w:val="0"/>
        <w:snapToGrid w:val="0"/>
        <w:spacing w:line="576" w:lineRule="exact"/>
        <w:ind w:firstLine="64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1.因公出国（境）经费支出0万元，完成预算0%。全年安排因公出国（境）团组0次，出国（境）0人。因公出国（境）支出决算比2023年持平。</w:t>
      </w:r>
    </w:p>
    <w:p>
      <w:pPr>
        <w:adjustRightInd w:val="0"/>
        <w:snapToGrid w:val="0"/>
        <w:spacing w:line="576" w:lineRule="exact"/>
        <w:ind w:firstLine="64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2.公务用车购置及运行维护费支出5.36</w:t>
      </w:r>
      <w:r>
        <w:rPr>
          <w:rFonts w:hint="eastAsia" w:eastAsia="方正仿宋_GBK" w:cs="Times New Roman"/>
          <w:sz w:val="32"/>
          <w:szCs w:val="32"/>
          <w:lang w:val="en-US" w:eastAsia="zh-CN"/>
        </w:rPr>
        <w:t>5</w:t>
      </w:r>
      <w:r>
        <w:rPr>
          <w:rFonts w:hint="eastAsia" w:ascii="Times New Roman" w:hAnsi="Times New Roman" w:eastAsia="方正仿宋_GBK" w:cs="Times New Roman"/>
          <w:sz w:val="32"/>
          <w:szCs w:val="32"/>
          <w:lang w:val="en-US" w:eastAsia="zh-CN"/>
        </w:rPr>
        <w:t>万元,完成预算100%。公务用车购置及运行维护费支出决算比2023年减少0.0002万元，与上一年持平。</w:t>
      </w:r>
    </w:p>
    <w:p>
      <w:pPr>
        <w:adjustRightInd w:val="0"/>
        <w:snapToGrid w:val="0"/>
        <w:spacing w:line="576" w:lineRule="exact"/>
        <w:ind w:firstLine="64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其中：公务用车购置支出0万元。全年按规定更新购置公务用车0辆。截至2024年12月底，单位共有公务用车2辆，其中：轿车0辆、越野车2辆。</w:t>
      </w:r>
    </w:p>
    <w:p>
      <w:pPr>
        <w:adjustRightInd w:val="0"/>
        <w:snapToGrid w:val="0"/>
        <w:spacing w:line="576" w:lineRule="exact"/>
        <w:ind w:firstLine="64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公务用车运行维护费支出5.36</w:t>
      </w:r>
      <w:r>
        <w:rPr>
          <w:rFonts w:hint="eastAsia" w:eastAsia="方正仿宋_GBK" w:cs="Times New Roman"/>
          <w:sz w:val="32"/>
          <w:szCs w:val="32"/>
          <w:lang w:val="en-US" w:eastAsia="zh-CN"/>
        </w:rPr>
        <w:t>5</w:t>
      </w:r>
      <w:r>
        <w:rPr>
          <w:rFonts w:hint="eastAsia" w:ascii="Times New Roman" w:hAnsi="Times New Roman" w:eastAsia="方正仿宋_GBK" w:cs="Times New Roman"/>
          <w:sz w:val="32"/>
          <w:szCs w:val="32"/>
          <w:lang w:val="en-US" w:eastAsia="zh-CN"/>
        </w:rPr>
        <w:t>万元。主要用于组织开展民族团结进步创建活动、开展民族团结宣传教育、维护社会稳定、森林防火督查、指导协调宗教事务，调研民族乡（镇）等所需的公务用车燃料费、维修费、过路过桥费、保险费等支出。</w:t>
      </w:r>
    </w:p>
    <w:p>
      <w:pPr>
        <w:adjustRightInd w:val="0"/>
        <w:snapToGrid w:val="0"/>
        <w:spacing w:line="576" w:lineRule="exact"/>
        <w:ind w:firstLine="64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3.公务接待费支出0.71</w:t>
      </w:r>
      <w:r>
        <w:rPr>
          <w:rFonts w:hint="eastAsia" w:eastAsia="方正仿宋_GBK" w:cs="Times New Roman"/>
          <w:sz w:val="32"/>
          <w:szCs w:val="32"/>
          <w:lang w:val="en-US" w:eastAsia="zh-CN"/>
        </w:rPr>
        <w:t>3</w:t>
      </w:r>
      <w:r>
        <w:rPr>
          <w:rFonts w:hint="eastAsia" w:ascii="Times New Roman" w:hAnsi="Times New Roman" w:eastAsia="方正仿宋_GBK" w:cs="Times New Roman"/>
          <w:sz w:val="32"/>
          <w:szCs w:val="32"/>
          <w:lang w:val="en-US" w:eastAsia="zh-CN"/>
        </w:rPr>
        <w:t>万元，完成预算100%。公务接待费支出决算比2023年减少</w:t>
      </w:r>
      <w:r>
        <w:rPr>
          <w:rFonts w:hint="eastAsia" w:ascii="Times New Roman" w:hAnsi="Times New Roman" w:eastAsia="仿宋" w:cs="Times New Roman"/>
          <w:sz w:val="32"/>
          <w:szCs w:val="32"/>
          <w:lang w:val="en-US" w:eastAsia="zh-CN"/>
        </w:rPr>
        <w:t>0.4</w:t>
      </w:r>
      <w:r>
        <w:rPr>
          <w:rFonts w:hint="eastAsia" w:eastAsia="仿宋" w:cs="Times New Roman"/>
          <w:sz w:val="32"/>
          <w:szCs w:val="32"/>
          <w:lang w:val="en-US" w:eastAsia="zh-CN"/>
        </w:rPr>
        <w:t>56</w:t>
      </w:r>
      <w:r>
        <w:rPr>
          <w:rFonts w:hint="eastAsia" w:ascii="Times New Roman" w:hAnsi="Times New Roman" w:eastAsia="仿宋" w:cs="Times New Roman"/>
          <w:sz w:val="32"/>
          <w:szCs w:val="32"/>
          <w:lang w:val="en-US" w:eastAsia="zh-CN"/>
        </w:rPr>
        <w:t>万元，降低39.32%</w:t>
      </w:r>
      <w:r>
        <w:rPr>
          <w:rFonts w:hint="eastAsia" w:ascii="Times New Roman" w:hAnsi="Times New Roman" w:eastAsia="方正仿宋_GBK" w:cs="Times New Roman"/>
          <w:sz w:val="32"/>
          <w:szCs w:val="32"/>
          <w:lang w:val="en-US" w:eastAsia="zh-CN"/>
        </w:rPr>
        <w:t>。</w:t>
      </w:r>
      <w:r>
        <w:rPr>
          <w:rFonts w:hint="eastAsia" w:ascii="Times New Roman" w:hAnsi="Times New Roman" w:eastAsia="仿宋" w:cs="Times New Roman"/>
          <w:sz w:val="32"/>
          <w:szCs w:val="32"/>
          <w:lang w:val="en-US" w:eastAsia="zh-CN"/>
        </w:rPr>
        <w:t>按照过紧日子文件精神减少公务接待。2024年接待国内公务活动6批次，接待人员46人次</w:t>
      </w:r>
      <w:r>
        <w:rPr>
          <w:rFonts w:hint="eastAsia" w:ascii="Times New Roman" w:hAnsi="Times New Roman" w:eastAsia="方正仿宋_GBK" w:cs="Times New Roman"/>
          <w:sz w:val="32"/>
          <w:szCs w:val="32"/>
          <w:lang w:val="en-US" w:eastAsia="zh-CN"/>
        </w:rPr>
        <w:t>。其中：</w:t>
      </w:r>
    </w:p>
    <w:p>
      <w:pPr>
        <w:adjustRightInd w:val="0"/>
        <w:snapToGrid w:val="0"/>
        <w:spacing w:line="576" w:lineRule="exact"/>
        <w:ind w:firstLine="64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国内公务接待支出0.71</w:t>
      </w:r>
      <w:r>
        <w:rPr>
          <w:rFonts w:hint="eastAsia" w:eastAsia="方正仿宋_GBK" w:cs="Times New Roman"/>
          <w:sz w:val="32"/>
          <w:szCs w:val="32"/>
          <w:lang w:val="en-US" w:eastAsia="zh-CN"/>
        </w:rPr>
        <w:t>3</w:t>
      </w:r>
      <w:r>
        <w:rPr>
          <w:rFonts w:hint="eastAsia" w:ascii="Times New Roman" w:hAnsi="Times New Roman" w:eastAsia="方正仿宋_GBK" w:cs="Times New Roman"/>
          <w:sz w:val="32"/>
          <w:szCs w:val="32"/>
          <w:lang w:val="en-US" w:eastAsia="zh-CN"/>
        </w:rPr>
        <w:t>万元，主要用于执行公务、开展全国民族团结进步模范推荐评选工作接待考察组用餐费等。接待国内公务活动6批次，接待人员46人次。</w:t>
      </w:r>
    </w:p>
    <w:p>
      <w:pPr>
        <w:adjustRightInd w:val="0"/>
        <w:snapToGrid w:val="0"/>
        <w:spacing w:line="576" w:lineRule="exact"/>
        <w:ind w:firstLine="640"/>
        <w:rPr>
          <w:rFonts w:ascii="仿宋_GB2312" w:eastAsia="仿宋_GB2312"/>
          <w:sz w:val="32"/>
          <w:szCs w:val="32"/>
        </w:rPr>
      </w:pPr>
      <w:r>
        <w:rPr>
          <w:rFonts w:hint="eastAsia" w:ascii="Times New Roman" w:hAnsi="Times New Roman" w:eastAsia="方正仿宋_GBK" w:cs="Times New Roman"/>
          <w:sz w:val="32"/>
          <w:szCs w:val="32"/>
          <w:lang w:val="en-US" w:eastAsia="zh-CN"/>
        </w:rPr>
        <w:t>外事接待支出0万元，外事接待0批次，0人。</w:t>
      </w:r>
    </w:p>
    <w:p>
      <w:pPr>
        <w:pStyle w:val="6"/>
        <w:adjustRightInd w:val="0"/>
        <w:snapToGrid w:val="0"/>
        <w:spacing w:line="576" w:lineRule="exact"/>
        <w:ind w:firstLine="627" w:firstLineChars="196"/>
        <w:rPr>
          <w:rStyle w:val="32"/>
          <w:rFonts w:hint="eastAsia" w:ascii="黑体" w:hAnsi="黑体" w:eastAsia="黑体"/>
          <w:b w:val="0"/>
          <w:bCs w:val="0"/>
        </w:rPr>
      </w:pPr>
      <w:bookmarkStart w:id="67" w:name="_Toc15377218"/>
      <w:bookmarkStart w:id="68" w:name="_Toc15396610"/>
      <w:bookmarkStart w:id="69" w:name="_Toc21903"/>
      <w:r>
        <w:rPr>
          <w:rFonts w:hint="eastAsia" w:ascii="黑体" w:hAnsi="黑体" w:eastAsia="黑体"/>
          <w:b w:val="0"/>
        </w:rPr>
        <w:t>八、</w:t>
      </w:r>
      <w:r>
        <w:rPr>
          <w:rStyle w:val="32"/>
          <w:rFonts w:hint="eastAsia" w:ascii="黑体" w:hAnsi="黑体" w:eastAsia="黑体"/>
          <w:b w:val="0"/>
          <w:bCs w:val="0"/>
        </w:rPr>
        <w:t>政府性基金预算支出决算情况说明</w:t>
      </w:r>
      <w:bookmarkEnd w:id="67"/>
      <w:bookmarkEnd w:id="68"/>
      <w:bookmarkEnd w:id="69"/>
    </w:p>
    <w:p>
      <w:pPr>
        <w:adjustRightInd w:val="0"/>
        <w:snapToGrid w:val="0"/>
        <w:spacing w:line="576" w:lineRule="exact"/>
        <w:ind w:firstLine="64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2024年政府性基金预算财政拨款支出0万元，占本年支出合计的0%。与2023年度相比，政府性基金预算财政拨款支出减少9.47万元，下降100%，主要原因是今年的项目经费未在政府性基金中安排。</w:t>
      </w:r>
    </w:p>
    <w:p>
      <w:pPr>
        <w:pStyle w:val="6"/>
        <w:adjustRightInd w:val="0"/>
        <w:snapToGrid w:val="0"/>
        <w:spacing w:line="576" w:lineRule="exact"/>
        <w:ind w:firstLine="627" w:firstLineChars="196"/>
        <w:rPr>
          <w:rStyle w:val="32"/>
          <w:rFonts w:hint="eastAsia" w:ascii="黑体" w:hAnsi="黑体" w:eastAsia="黑体"/>
          <w:b w:val="0"/>
          <w:bCs w:val="0"/>
        </w:rPr>
      </w:pPr>
      <w:bookmarkStart w:id="70" w:name="_Toc18730"/>
      <w:bookmarkStart w:id="71" w:name="_Toc15396611"/>
      <w:bookmarkStart w:id="72" w:name="_Toc15377219"/>
      <w:r>
        <w:rPr>
          <w:rStyle w:val="32"/>
          <w:rFonts w:hint="eastAsia" w:ascii="黑体" w:hAnsi="黑体" w:eastAsia="黑体"/>
          <w:b w:val="0"/>
          <w:bCs w:val="0"/>
        </w:rPr>
        <w:t>九、国有资本经营预算支出决算情况说明</w:t>
      </w:r>
      <w:bookmarkEnd w:id="70"/>
      <w:bookmarkEnd w:id="71"/>
      <w:bookmarkEnd w:id="72"/>
    </w:p>
    <w:p>
      <w:pPr>
        <w:adjustRightInd w:val="0"/>
        <w:snapToGrid w:val="0"/>
        <w:spacing w:line="576" w:lineRule="exact"/>
        <w:ind w:firstLine="64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2024年国有资本经营预算财政拨款支出0万元，与2023年持平。</w:t>
      </w:r>
    </w:p>
    <w:p>
      <w:pPr>
        <w:pStyle w:val="6"/>
        <w:adjustRightInd w:val="0"/>
        <w:snapToGrid w:val="0"/>
        <w:spacing w:line="576" w:lineRule="exact"/>
        <w:ind w:firstLine="640" w:firstLineChars="200"/>
        <w:rPr>
          <w:rStyle w:val="32"/>
          <w:rFonts w:hint="eastAsia" w:ascii="黑体" w:hAnsi="黑体" w:eastAsia="黑体"/>
          <w:b/>
          <w:bCs w:val="0"/>
        </w:rPr>
      </w:pPr>
      <w:bookmarkStart w:id="73" w:name="_Toc30529"/>
      <w:bookmarkStart w:id="74" w:name="_Toc15396612"/>
      <w:bookmarkStart w:id="75" w:name="_Toc15377221"/>
      <w:r>
        <w:rPr>
          <w:rStyle w:val="32"/>
          <w:rFonts w:hint="eastAsia" w:ascii="黑体" w:hAnsi="黑体" w:eastAsia="黑体"/>
          <w:b w:val="0"/>
          <w:bCs w:val="0"/>
        </w:rPr>
        <w:t>十、其他重要事项的情况说明</w:t>
      </w:r>
      <w:bookmarkEnd w:id="73"/>
      <w:bookmarkEnd w:id="74"/>
      <w:bookmarkEnd w:id="75"/>
    </w:p>
    <w:p>
      <w:pPr>
        <w:pStyle w:val="7"/>
        <w:ind w:firstLine="642" w:firstLineChars="200"/>
        <w:rPr>
          <w:rFonts w:ascii="楷体_GB2312" w:eastAsia="楷体_GB2312"/>
        </w:rPr>
      </w:pPr>
      <w:bookmarkStart w:id="76" w:name="_Toc30583"/>
      <w:bookmarkStart w:id="77" w:name="_Toc15377222"/>
      <w:r>
        <w:rPr>
          <w:rFonts w:hint="eastAsia" w:ascii="楷体_GB2312" w:eastAsia="楷体_GB2312"/>
        </w:rPr>
        <w:t>（一）机关运行经费支出情况</w:t>
      </w:r>
      <w:bookmarkEnd w:id="76"/>
      <w:bookmarkEnd w:id="77"/>
    </w:p>
    <w:p>
      <w:pPr>
        <w:adjustRightInd w:val="0"/>
        <w:snapToGrid w:val="0"/>
        <w:spacing w:line="576" w:lineRule="exact"/>
        <w:ind w:firstLine="640" w:firstLineChars="200"/>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lang w:val="en-US" w:eastAsia="zh-CN"/>
        </w:rPr>
        <w:t>2024年，攀枝花市民族宗教事务委员会机关运行经费支出57.34万元，比2023年减少1.72万元，降低2.91%。主要原因是主要是2023年底做2024年预算时，单位行政在职人员较上一年度较少，导致公务交通补贴等公用经费预算减少。</w:t>
      </w:r>
    </w:p>
    <w:p>
      <w:pPr>
        <w:pStyle w:val="7"/>
        <w:ind w:firstLine="642" w:firstLineChars="200"/>
        <w:rPr>
          <w:rFonts w:ascii="楷体_GB2312" w:eastAsia="楷体_GB2312"/>
        </w:rPr>
      </w:pPr>
      <w:bookmarkStart w:id="78" w:name="_Toc10199"/>
      <w:bookmarkStart w:id="79" w:name="_Toc15377223"/>
      <w:r>
        <w:rPr>
          <w:rFonts w:hint="eastAsia" w:ascii="楷体_GB2312" w:eastAsia="楷体_GB2312"/>
        </w:rPr>
        <w:t>（二）政府采购支出情况</w:t>
      </w:r>
      <w:bookmarkEnd w:id="78"/>
      <w:bookmarkEnd w:id="79"/>
    </w:p>
    <w:p>
      <w:pPr>
        <w:adjustRightInd w:val="0"/>
        <w:snapToGrid w:val="0"/>
        <w:spacing w:line="576" w:lineRule="exact"/>
        <w:ind w:firstLine="640" w:firstLineChars="200"/>
        <w:rPr>
          <w:rFonts w:hint="eastAsia" w:ascii="方正仿宋_GBK" w:hAnsi="方正仿宋_GBK" w:eastAsia="方正仿宋_GBK" w:cs="方正仿宋_GBK"/>
          <w:sz w:val="32"/>
          <w:szCs w:val="32"/>
          <w:lang w:val="en-US"/>
        </w:rPr>
      </w:pPr>
      <w:r>
        <w:rPr>
          <w:rFonts w:hint="eastAsia" w:ascii="Times New Roman" w:hAnsi="Times New Roman" w:eastAsia="方正仿宋_GBK" w:cs="Times New Roman"/>
          <w:sz w:val="32"/>
          <w:szCs w:val="32"/>
          <w:lang w:val="en-US" w:eastAsia="zh-CN"/>
        </w:rPr>
        <w:t>2024年，攀枝花市民族宗教事务委员会政府采购支出总额0.7</w:t>
      </w:r>
      <w:r>
        <w:rPr>
          <w:rFonts w:hint="eastAsia" w:eastAsia="方正仿宋_GBK" w:cs="Times New Roman"/>
          <w:sz w:val="32"/>
          <w:szCs w:val="32"/>
          <w:lang w:val="en-US" w:eastAsia="zh-CN"/>
        </w:rPr>
        <w:t>万</w:t>
      </w:r>
      <w:r>
        <w:rPr>
          <w:rFonts w:hint="eastAsia" w:ascii="Times New Roman" w:hAnsi="Times New Roman" w:eastAsia="方正仿宋_GBK" w:cs="Times New Roman"/>
          <w:sz w:val="32"/>
          <w:szCs w:val="32"/>
          <w:lang w:val="en-US" w:eastAsia="zh-CN"/>
        </w:rPr>
        <w:t>元，其中：政府采购货物支出0万元、政府采购工程支出0万元、政府采购服务支出0.7万元。</w:t>
      </w:r>
      <w:r>
        <w:rPr>
          <w:rFonts w:hint="eastAsia" w:ascii="仿宋_GB2312" w:hAnsi="仿宋_GB2312" w:eastAsia="仿宋_GB2312" w:cs="仿宋_GB2312"/>
          <w:color w:val="auto"/>
          <w:kern w:val="2"/>
          <w:sz w:val="32"/>
          <w:szCs w:val="32"/>
          <w:highlight w:val="none"/>
          <w:lang w:val="en-US" w:eastAsia="zh-CN" w:bidi="ar-SA"/>
        </w:rPr>
        <w:t>主要用于公务用车的燃油、保养维护费。</w:t>
      </w:r>
    </w:p>
    <w:p>
      <w:pPr>
        <w:pStyle w:val="7"/>
        <w:ind w:firstLine="642" w:firstLineChars="200"/>
        <w:rPr>
          <w:rFonts w:ascii="楷体_GB2312" w:eastAsia="楷体_GB2312"/>
        </w:rPr>
      </w:pPr>
      <w:bookmarkStart w:id="80" w:name="_Toc15377224"/>
      <w:bookmarkStart w:id="81" w:name="_Toc21084"/>
      <w:r>
        <w:rPr>
          <w:rFonts w:hint="eastAsia" w:ascii="楷体_GB2312" w:eastAsia="楷体_GB2312"/>
        </w:rPr>
        <w:t>（三）国有资产占有使用情况</w:t>
      </w:r>
      <w:bookmarkEnd w:id="80"/>
      <w:bookmarkEnd w:id="81"/>
    </w:p>
    <w:p>
      <w:pPr>
        <w:adjustRightInd w:val="0"/>
        <w:snapToGrid w:val="0"/>
        <w:spacing w:line="576"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截至2024年12月31日，攀枝花市民族宗教事务委员会共有车辆2辆，其中：主要负责人用车0辆、机要通信用车0辆、应急保障用车0辆、其他用车2辆，其他用车主要是用于一般公务活动。单价100万元（含）以上设备（不含车辆）0台（套）。</w:t>
      </w:r>
    </w:p>
    <w:p>
      <w:pPr>
        <w:pStyle w:val="7"/>
        <w:ind w:firstLine="642" w:firstLineChars="200"/>
        <w:rPr>
          <w:rFonts w:ascii="楷体_GB2312" w:eastAsia="楷体_GB2312"/>
        </w:rPr>
      </w:pPr>
      <w:bookmarkStart w:id="82" w:name="_Toc29648"/>
      <w:r>
        <w:rPr>
          <w:rFonts w:hint="eastAsia" w:ascii="楷体_GB2312" w:eastAsia="楷体_GB2312"/>
        </w:rPr>
        <w:t>（四）预算绩效管理情况</w:t>
      </w:r>
      <w:bookmarkEnd w:id="82"/>
    </w:p>
    <w:p>
      <w:pPr>
        <w:adjustRightInd w:val="0"/>
        <w:snapToGrid w:val="0"/>
        <w:spacing w:line="576" w:lineRule="exact"/>
        <w:ind w:firstLine="640" w:firstLineChars="200"/>
        <w:rPr>
          <w:rFonts w:hint="eastAsia" w:ascii="Times New Roman" w:hAnsi="Times New Roman" w:eastAsia="方正仿宋_GBK" w:cs="Times New Roman"/>
          <w:sz w:val="32"/>
          <w:szCs w:val="32"/>
          <w:lang w:val="en-US" w:eastAsia="zh-CN"/>
        </w:rPr>
      </w:pPr>
      <w:r>
        <w:rPr>
          <w:rFonts w:hint="eastAsia" w:ascii="方正仿宋_GBK" w:hAnsi="方正仿宋_GBK" w:eastAsia="方正仿宋_GBK" w:cs="方正仿宋_GBK"/>
          <w:sz w:val="32"/>
          <w:szCs w:val="32"/>
          <w:lang w:val="en-US" w:eastAsia="zh-CN"/>
        </w:rPr>
        <w:t>按照预算绩效管理要求，我委</w:t>
      </w:r>
      <w:r>
        <w:rPr>
          <w:rFonts w:hint="eastAsia" w:ascii="Times New Roman" w:hAnsi="Times New Roman" w:eastAsia="方正仿宋_GBK" w:cs="Times New Roman"/>
          <w:sz w:val="32"/>
          <w:szCs w:val="32"/>
          <w:lang w:val="en-US" w:eastAsia="zh-CN"/>
        </w:rPr>
        <w:t>对2024年预算项目支出开展了绩效目标管理。年初预算3个项目50万元（原批复为4个项目，年中调整追减1个项目指标至县区），年中追加项目10个，执行数175.39万元，均开展了绩效目标管理和年中绩效评价，13个项目预算绩效为272.3万元，但今年资金支付有部分待支付和待完成项目，故最后执行完成绩效与预算绩效之间存在差异。</w:t>
      </w:r>
    </w:p>
    <w:p>
      <w:pPr>
        <w:adjustRightInd w:val="0"/>
        <w:snapToGrid w:val="0"/>
        <w:spacing w:line="576" w:lineRule="exact"/>
        <w:ind w:firstLine="640" w:firstLineChars="200"/>
        <w:rPr>
          <w:rFonts w:ascii="仿宋_GB2312" w:eastAsia="仿宋_GB2312"/>
          <w:sz w:val="32"/>
          <w:szCs w:val="32"/>
        </w:rPr>
      </w:pPr>
      <w:r>
        <w:rPr>
          <w:rFonts w:hint="eastAsia" w:ascii="Times New Roman" w:hAnsi="Times New Roman" w:eastAsia="方正仿宋_GBK" w:cs="Times New Roman"/>
          <w:sz w:val="32"/>
          <w:szCs w:val="32"/>
          <w:lang w:val="en-US" w:eastAsia="zh-CN"/>
        </w:rPr>
        <w:t>部门组织对2024年度一般公共预算全面开展绩效自评，形成了《</w:t>
      </w:r>
      <w:r>
        <w:rPr>
          <w:rFonts w:hint="eastAsia" w:eastAsia="方正仿宋_GBK" w:cs="Times New Roman"/>
          <w:sz w:val="32"/>
          <w:szCs w:val="32"/>
          <w:lang w:val="en-US" w:eastAsia="zh-CN"/>
        </w:rPr>
        <w:t>攀枝花市民族宗教事务委员会</w:t>
      </w:r>
      <w:r>
        <w:rPr>
          <w:rFonts w:hint="eastAsia" w:ascii="Times New Roman" w:hAnsi="Times New Roman" w:eastAsia="方正仿宋_GBK" w:cs="Times New Roman"/>
          <w:sz w:val="32"/>
          <w:szCs w:val="32"/>
          <w:lang w:val="en-US" w:eastAsia="zh-CN"/>
        </w:rPr>
        <w:t>2024年度部门整体绩效自评报告》，部门整体绩效自评得分为87.67分。13个项目绩效自评得分具体为：宗教界人士和宗教场所慰问费及困难宗教人士生活补助100分；民族团结进步示范市创建工作经费100分；宗教工作专项经费99.61分；</w:t>
      </w:r>
      <w:r>
        <w:rPr>
          <w:rFonts w:hint="eastAsia" w:ascii="Times New Roman" w:hAnsi="Times New Roman" w:eastAsia="仿宋" w:cs="Times New Roman"/>
          <w:sz w:val="32"/>
          <w:szCs w:val="32"/>
          <w:lang w:val="en-US" w:eastAsia="zh-CN"/>
        </w:rPr>
        <w:t>宗教团体工作经费</w:t>
      </w:r>
      <w:r>
        <w:rPr>
          <w:rFonts w:hint="eastAsia" w:eastAsia="仿宋" w:cs="Times New Roman"/>
          <w:sz w:val="32"/>
          <w:szCs w:val="32"/>
          <w:lang w:val="en-US" w:eastAsia="zh-CN"/>
        </w:rPr>
        <w:t>100分</w:t>
      </w:r>
      <w:r>
        <w:rPr>
          <w:rFonts w:hint="eastAsia" w:ascii="Times New Roman" w:hAnsi="Times New Roman" w:eastAsia="仿宋" w:cs="Times New Roman"/>
          <w:sz w:val="32"/>
          <w:szCs w:val="32"/>
          <w:lang w:val="en-US" w:eastAsia="zh-CN"/>
        </w:rPr>
        <w:t>；攀枝花市组团参加四川省第十六届少数民族传统体育运动会经费</w:t>
      </w:r>
      <w:r>
        <w:rPr>
          <w:rFonts w:hint="eastAsia" w:eastAsia="仿宋" w:cs="Times New Roman"/>
          <w:sz w:val="32"/>
          <w:szCs w:val="32"/>
          <w:lang w:val="en-US" w:eastAsia="zh-CN"/>
        </w:rPr>
        <w:t>89.98分</w:t>
      </w:r>
      <w:r>
        <w:rPr>
          <w:rFonts w:hint="eastAsia" w:ascii="Times New Roman" w:hAnsi="Times New Roman" w:eastAsia="仿宋" w:cs="Times New Roman"/>
          <w:sz w:val="32"/>
          <w:szCs w:val="32"/>
          <w:lang w:val="en-US" w:eastAsia="zh-CN"/>
        </w:rPr>
        <w:t>；民族团结进步表彰奖励</w:t>
      </w:r>
      <w:r>
        <w:rPr>
          <w:rFonts w:hint="eastAsia" w:eastAsia="仿宋" w:cs="Times New Roman"/>
          <w:sz w:val="32"/>
          <w:szCs w:val="32"/>
          <w:lang w:val="en-US" w:eastAsia="zh-CN"/>
        </w:rPr>
        <w:t>100分</w:t>
      </w:r>
      <w:r>
        <w:rPr>
          <w:rFonts w:hint="eastAsia" w:ascii="Times New Roman" w:hAnsi="Times New Roman" w:eastAsia="仿宋" w:cs="Times New Roman"/>
          <w:sz w:val="32"/>
          <w:szCs w:val="32"/>
          <w:lang w:val="en-US" w:eastAsia="zh-CN"/>
        </w:rPr>
        <w:t>；向上争取资金工作经费</w:t>
      </w:r>
      <w:r>
        <w:rPr>
          <w:rFonts w:hint="eastAsia" w:eastAsia="仿宋" w:cs="Times New Roman"/>
          <w:sz w:val="32"/>
          <w:szCs w:val="32"/>
          <w:lang w:val="en-US" w:eastAsia="zh-CN"/>
        </w:rPr>
        <w:t>100分</w:t>
      </w:r>
      <w:r>
        <w:rPr>
          <w:rFonts w:hint="eastAsia" w:ascii="Times New Roman" w:hAnsi="Times New Roman" w:eastAsia="仿宋" w:cs="Times New Roman"/>
          <w:sz w:val="32"/>
          <w:szCs w:val="32"/>
          <w:lang w:val="en-US" w:eastAsia="zh-CN"/>
        </w:rPr>
        <w:t>；市级挂职干部补助</w:t>
      </w:r>
      <w:r>
        <w:rPr>
          <w:rFonts w:hint="eastAsia" w:eastAsia="仿宋" w:cs="Times New Roman"/>
          <w:sz w:val="32"/>
          <w:szCs w:val="32"/>
          <w:lang w:val="en-US" w:eastAsia="zh-CN"/>
        </w:rPr>
        <w:t>100分</w:t>
      </w:r>
      <w:r>
        <w:rPr>
          <w:rFonts w:hint="eastAsia" w:ascii="Times New Roman" w:hAnsi="Times New Roman" w:eastAsia="仿宋" w:cs="Times New Roman"/>
          <w:sz w:val="32"/>
          <w:szCs w:val="32"/>
          <w:lang w:val="en-US" w:eastAsia="zh-CN"/>
        </w:rPr>
        <w:t>；市级少数民族发展资金</w:t>
      </w:r>
      <w:r>
        <w:rPr>
          <w:rFonts w:hint="eastAsia" w:eastAsia="仿宋" w:cs="Times New Roman"/>
          <w:sz w:val="32"/>
          <w:szCs w:val="32"/>
          <w:lang w:val="en-US" w:eastAsia="zh-CN"/>
        </w:rPr>
        <w:t>100分</w:t>
      </w:r>
      <w:r>
        <w:rPr>
          <w:rFonts w:hint="eastAsia" w:ascii="Times New Roman" w:hAnsi="Times New Roman" w:eastAsia="仿宋" w:cs="Times New Roman"/>
          <w:sz w:val="32"/>
          <w:szCs w:val="32"/>
          <w:lang w:val="en-US" w:eastAsia="zh-CN"/>
        </w:rPr>
        <w:t>；下达2023年民族事业发展专项资金</w:t>
      </w:r>
      <w:r>
        <w:rPr>
          <w:rFonts w:hint="eastAsia" w:eastAsia="仿宋" w:cs="Times New Roman"/>
          <w:sz w:val="32"/>
          <w:szCs w:val="32"/>
          <w:lang w:val="en-US" w:eastAsia="zh-CN"/>
        </w:rPr>
        <w:t>100分；上年结转</w:t>
      </w:r>
      <w:r>
        <w:rPr>
          <w:rFonts w:hint="eastAsia" w:ascii="Times New Roman" w:hAnsi="Times New Roman" w:eastAsia="仿宋" w:cs="Times New Roman"/>
          <w:sz w:val="32"/>
          <w:szCs w:val="32"/>
          <w:lang w:val="en-US" w:eastAsia="zh-CN"/>
        </w:rPr>
        <w:t>省级民族地区开发资金</w:t>
      </w:r>
      <w:r>
        <w:rPr>
          <w:rFonts w:hint="eastAsia" w:eastAsia="仿宋" w:cs="Times New Roman"/>
          <w:sz w:val="32"/>
          <w:szCs w:val="32"/>
          <w:lang w:val="en-US" w:eastAsia="zh-CN"/>
        </w:rPr>
        <w:t>100分；</w:t>
      </w:r>
      <w:r>
        <w:rPr>
          <w:rFonts w:hint="eastAsia" w:ascii="Times New Roman" w:hAnsi="Times New Roman" w:eastAsia="仿宋" w:cs="Times New Roman"/>
          <w:sz w:val="32"/>
          <w:szCs w:val="32"/>
          <w:lang w:val="en-US" w:eastAsia="zh-CN"/>
        </w:rPr>
        <w:t>省级民族地区开发资金</w:t>
      </w:r>
      <w:r>
        <w:rPr>
          <w:rFonts w:hint="eastAsia" w:eastAsia="仿宋" w:cs="Times New Roman"/>
          <w:sz w:val="32"/>
          <w:szCs w:val="32"/>
          <w:lang w:val="en-US" w:eastAsia="zh-CN"/>
        </w:rPr>
        <w:t>76.02分</w:t>
      </w:r>
      <w:r>
        <w:rPr>
          <w:rFonts w:hint="eastAsia" w:ascii="Times New Roman" w:hAnsi="Times New Roman" w:eastAsia="仿宋" w:cs="Times New Roman"/>
          <w:sz w:val="32"/>
          <w:szCs w:val="32"/>
          <w:lang w:val="en-US" w:eastAsia="zh-CN"/>
        </w:rPr>
        <w:t>；2024年民族事业发展专项资金</w:t>
      </w:r>
      <w:r>
        <w:rPr>
          <w:rFonts w:hint="eastAsia" w:eastAsia="仿宋" w:cs="Times New Roman"/>
          <w:sz w:val="32"/>
          <w:szCs w:val="32"/>
          <w:lang w:val="en-US" w:eastAsia="zh-CN"/>
        </w:rPr>
        <w:t>59.985分。</w:t>
      </w:r>
      <w:r>
        <w:rPr>
          <w:rFonts w:hint="eastAsia" w:ascii="仿宋_GB2312" w:eastAsia="仿宋_GB2312"/>
          <w:sz w:val="32"/>
          <w:szCs w:val="32"/>
        </w:rPr>
        <w:br w:type="page"/>
      </w:r>
    </w:p>
    <w:p>
      <w:pPr>
        <w:numPr>
          <w:ilvl w:val="0"/>
          <w:numId w:val="1"/>
        </w:numPr>
        <w:adjustRightInd w:val="0"/>
        <w:snapToGrid w:val="0"/>
        <w:spacing w:line="576" w:lineRule="exact"/>
        <w:ind w:firstLine="660" w:firstLineChars="150"/>
        <w:jc w:val="center"/>
        <w:outlineLvl w:val="0"/>
        <w:rPr>
          <w:rStyle w:val="31"/>
          <w:rFonts w:hint="eastAsia" w:ascii="黑体" w:hAnsi="黑体" w:eastAsia="黑体"/>
          <w:b w:val="0"/>
        </w:rPr>
      </w:pPr>
      <w:bookmarkStart w:id="83" w:name="_Toc15396613"/>
      <w:bookmarkStart w:id="84" w:name="_Toc15377225"/>
      <w:bookmarkStart w:id="85" w:name="_Toc28825"/>
      <w:r>
        <w:rPr>
          <w:rFonts w:hint="eastAsia" w:ascii="黑体" w:hAnsi="黑体" w:eastAsia="黑体"/>
          <w:sz w:val="44"/>
          <w:szCs w:val="44"/>
        </w:rPr>
        <w:t>名</w:t>
      </w:r>
      <w:r>
        <w:rPr>
          <w:rStyle w:val="31"/>
          <w:rFonts w:hint="eastAsia" w:ascii="黑体" w:hAnsi="黑体" w:eastAsia="黑体"/>
          <w:b w:val="0"/>
        </w:rPr>
        <w:t>词解释</w:t>
      </w:r>
      <w:bookmarkEnd w:id="83"/>
      <w:bookmarkEnd w:id="84"/>
      <w:bookmarkEnd w:id="85"/>
    </w:p>
    <w:p>
      <w:pPr>
        <w:adjustRightInd w:val="0"/>
        <w:snapToGrid w:val="0"/>
        <w:spacing w:line="576" w:lineRule="exact"/>
        <w:jc w:val="left"/>
        <w:rPr>
          <w:rFonts w:ascii="宋体"/>
          <w:b/>
          <w:sz w:val="44"/>
          <w:szCs w:val="44"/>
        </w:rPr>
      </w:pPr>
    </w:p>
    <w:p>
      <w:pPr>
        <w:pStyle w:val="22"/>
        <w:snapToGrid w:val="0"/>
        <w:spacing w:line="576" w:lineRule="exact"/>
        <w:ind w:firstLine="640" w:firstLineChars="200"/>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1.财政拨款收入：指单位从同级财政部门取得的财政预算资金。</w:t>
      </w:r>
    </w:p>
    <w:p>
      <w:pPr>
        <w:adjustRightInd w:val="0"/>
        <w:snapToGrid w:val="0"/>
        <w:spacing w:line="576" w:lineRule="exact"/>
        <w:ind w:firstLine="640" w:firstLineChars="200"/>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2.一般公共服务（类）民族事务（款）行政运行（项）：指行政单位的基本支出。</w:t>
      </w:r>
    </w:p>
    <w:p>
      <w:pPr>
        <w:adjustRightInd w:val="0"/>
        <w:snapToGrid w:val="0"/>
        <w:spacing w:line="576" w:lineRule="exact"/>
        <w:ind w:firstLine="640" w:firstLineChars="200"/>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3.一般公共服务（类）民族事务（款）事业运行（项）：指事业单位的基本支出，不包括行政单位服务中心、医务室等附属事业单位。</w:t>
      </w:r>
    </w:p>
    <w:p>
      <w:pPr>
        <w:adjustRightInd w:val="0"/>
        <w:snapToGrid w:val="0"/>
        <w:spacing w:line="576" w:lineRule="exact"/>
        <w:ind w:firstLine="640" w:firstLineChars="200"/>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4.一般公共服务（类）民族事务（款）其他民族事务支出（项）：指其他用于民族事务方面的支出。</w:t>
      </w:r>
    </w:p>
    <w:p>
      <w:pPr>
        <w:adjustRightInd w:val="0"/>
        <w:snapToGrid w:val="0"/>
        <w:spacing w:line="576" w:lineRule="exact"/>
        <w:ind w:firstLine="640" w:firstLineChars="200"/>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5.一般公共服务（类）组织事务（款）其他组织事务支出（项）：指其他用于中国共产党组织部门的事务支出。</w:t>
      </w:r>
    </w:p>
    <w:p>
      <w:pPr>
        <w:adjustRightInd w:val="0"/>
        <w:snapToGrid w:val="0"/>
        <w:spacing w:line="576" w:lineRule="exact"/>
        <w:ind w:firstLine="640" w:firstLineChars="200"/>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5.社会保障和就业（类）行政事业单位养老支出（款）行政单位离退休（项）：指行政单位(包括实行公务员管理的事业单位)开支的离退休经费。</w:t>
      </w:r>
    </w:p>
    <w:p>
      <w:pPr>
        <w:adjustRightInd w:val="0"/>
        <w:snapToGrid w:val="0"/>
        <w:spacing w:line="576" w:lineRule="exact"/>
        <w:ind w:firstLine="640" w:firstLineChars="200"/>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6.社会保障和就业（类）行政事业单位养老支出（款）事业单位离退休（项）：指事业单位开支的离退休经费。</w:t>
      </w:r>
    </w:p>
    <w:p>
      <w:pPr>
        <w:adjustRightInd w:val="0"/>
        <w:snapToGrid w:val="0"/>
        <w:spacing w:line="576" w:lineRule="exact"/>
        <w:ind w:firstLine="640" w:firstLineChars="200"/>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 xml:space="preserve">7.社会保障和就业（类）行政事业单位养老支出（款）机关事业单位基本养老保险缴费支出（项）:指机关事业单位实施养老保险制度由单位缴纳的基本养老保险费支出。  </w:t>
      </w:r>
    </w:p>
    <w:p>
      <w:pPr>
        <w:adjustRightInd w:val="0"/>
        <w:snapToGrid w:val="0"/>
        <w:spacing w:line="576" w:lineRule="exact"/>
        <w:ind w:firstLine="640" w:firstLineChars="200"/>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9.社会保障和就业支出（类）行政事业单位养老支出（款）机关事业单位职业年金缴费支出（项）：指机关事业单位实施养老保险制度由单位实际缴纳的职业年金支出。</w:t>
      </w:r>
    </w:p>
    <w:p>
      <w:pPr>
        <w:adjustRightInd w:val="0"/>
        <w:snapToGrid w:val="0"/>
        <w:spacing w:line="576" w:lineRule="exact"/>
        <w:ind w:firstLine="640" w:firstLineChars="200"/>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10.社会保障和就业支出（类）抚恤（款）死亡抚恤（项）：指按规定用于烈士和牺牲、病故人员家属的一次性和定期抚恤金、丧葬补助费以及烈士褒扬金。</w:t>
      </w:r>
    </w:p>
    <w:p>
      <w:pPr>
        <w:adjustRightInd w:val="0"/>
        <w:snapToGrid w:val="0"/>
        <w:spacing w:line="576" w:lineRule="exact"/>
        <w:ind w:firstLine="640" w:firstLineChars="200"/>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11.卫生健康支出（类）行政事业单位医疗（款）行政单位医疗（项）：指行政单位基本医疗保险缴费经费，未参加医疗保险的行政单位的公费医疗经费，按国家规定享受离休人员、红军老战士待遇人员的医疗经费。</w:t>
      </w:r>
    </w:p>
    <w:p>
      <w:pPr>
        <w:adjustRightInd w:val="0"/>
        <w:snapToGrid w:val="0"/>
        <w:spacing w:line="576" w:lineRule="exact"/>
        <w:ind w:firstLine="640" w:firstLineChars="200"/>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12.卫生健康支出（类）行政事业单位医疗（款）事业单位医疗（项）：指事业单位基本医疗保险缴费经费，未参加医疗保险的事业单位的公费医疗经费，按国家规定享受离休人员待遇的医疗经费。</w:t>
      </w:r>
    </w:p>
    <w:p>
      <w:pPr>
        <w:adjustRightInd w:val="0"/>
        <w:snapToGrid w:val="0"/>
        <w:spacing w:line="576" w:lineRule="exact"/>
        <w:ind w:firstLine="640" w:firstLineChars="200"/>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13.卫生健康支出（类）行政事业单位医疗（款）公务员医疗补助（项）：指公务员医疗补助经费。</w:t>
      </w:r>
    </w:p>
    <w:p>
      <w:pPr>
        <w:adjustRightInd w:val="0"/>
        <w:snapToGrid w:val="0"/>
        <w:spacing w:line="576" w:lineRule="exact"/>
        <w:ind w:firstLine="640" w:firstLineChars="200"/>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 xml:space="preserve">14.卫生健康支出（类）行政事业单位医疗（款）其他行政事业单位医疗支出（项）：指其他用于行政事业单位医疗方面的支出。  </w:t>
      </w:r>
    </w:p>
    <w:p>
      <w:pPr>
        <w:pStyle w:val="9"/>
        <w:adjustRightInd w:val="0"/>
        <w:snapToGrid w:val="0"/>
        <w:spacing w:before="93" w:line="576" w:lineRule="exact"/>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 xml:space="preserve">    15.农林水支出（类）农业农村（款）其他农业农村支出（项）：指其他用于农业农村方面的支出。</w:t>
      </w:r>
    </w:p>
    <w:p>
      <w:pPr>
        <w:adjustRightInd w:val="0"/>
        <w:snapToGrid w:val="0"/>
        <w:spacing w:line="576" w:lineRule="exact"/>
        <w:ind w:firstLine="640" w:firstLineChars="200"/>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16.农林水支出（类）其他农林水支出（款）其他农林水支出（项）：指除化解债务支出以外其他用于农林水方面的支出。</w:t>
      </w:r>
    </w:p>
    <w:p>
      <w:pPr>
        <w:adjustRightInd w:val="0"/>
        <w:snapToGrid w:val="0"/>
        <w:spacing w:line="576" w:lineRule="exact"/>
        <w:ind w:firstLine="640" w:firstLineChars="200"/>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17.住房保障支出（类）住房改革支出（款）住房公积金（项）：指行政事业单位按人力资源和社会保障部、财政部规定的基本工资和津贴补贴以及规定比例为职工缴纳的住房公积金。</w:t>
      </w:r>
    </w:p>
    <w:p>
      <w:pPr>
        <w:adjustRightInd w:val="0"/>
        <w:snapToGrid w:val="0"/>
        <w:spacing w:line="576" w:lineRule="exact"/>
        <w:ind w:firstLine="640" w:firstLineChars="200"/>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18.基本支出：指为保障机构正常运转、完成日常工作任务而发生的人员支出和公用支出。</w:t>
      </w:r>
    </w:p>
    <w:p>
      <w:pPr>
        <w:adjustRightInd w:val="0"/>
        <w:snapToGrid w:val="0"/>
        <w:spacing w:line="576" w:lineRule="exact"/>
        <w:ind w:firstLine="640" w:firstLineChars="200"/>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 xml:space="preserve">19.项目支出：指在基本支出之外为完成特定行政任务和事业发展目标所发生的支出。 </w:t>
      </w:r>
    </w:p>
    <w:p>
      <w:pPr>
        <w:pStyle w:val="22"/>
        <w:snapToGrid w:val="0"/>
        <w:spacing w:line="576" w:lineRule="exact"/>
        <w:ind w:firstLine="640" w:firstLineChars="200"/>
        <w:rPr>
          <w:rFonts w:hint="eastAsia" w:ascii="Times New Roman" w:hAnsi="Times New Roman" w:eastAsia="仿宋" w:cs="Times New Roman"/>
          <w:kern w:val="2"/>
          <w:sz w:val="32"/>
          <w:szCs w:val="32"/>
          <w:lang w:val="en-US" w:eastAsia="zh-CN" w:bidi="ar-SA"/>
        </w:rPr>
      </w:pPr>
      <w:r>
        <w:rPr>
          <w:rFonts w:hint="eastAsia" w:ascii="Times New Roman" w:hAnsi="Times New Roman" w:cs="Times New Roman"/>
          <w:kern w:val="2"/>
          <w:sz w:val="32"/>
          <w:szCs w:val="32"/>
          <w:lang w:val="en-US" w:eastAsia="zh-CN" w:bidi="ar-SA"/>
        </w:rPr>
        <w:t>20</w:t>
      </w:r>
      <w:r>
        <w:rPr>
          <w:rFonts w:hint="eastAsia" w:ascii="Times New Roman" w:hAnsi="Times New Roman" w:eastAsia="仿宋" w:cs="Times New Roman"/>
          <w:kern w:val="2"/>
          <w:sz w:val="32"/>
          <w:szCs w:val="32"/>
          <w:lang w:val="en-US" w:eastAsia="zh-CN" w:bidi="ar-SA"/>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adjustRightInd w:val="0"/>
        <w:snapToGrid w:val="0"/>
        <w:spacing w:line="576" w:lineRule="exact"/>
        <w:ind w:firstLine="640" w:firstLineChars="200"/>
        <w:rPr>
          <w:rFonts w:ascii="仿宋_GB2312" w:eastAsia="仿宋_GB2312"/>
          <w:sz w:val="32"/>
          <w:szCs w:val="32"/>
        </w:rPr>
      </w:pPr>
      <w:r>
        <w:rPr>
          <w:rFonts w:hint="eastAsia" w:ascii="Times New Roman" w:hAnsi="Times New Roman" w:eastAsia="仿宋" w:cs="Times New Roman"/>
          <w:kern w:val="2"/>
          <w:sz w:val="32"/>
          <w:szCs w:val="32"/>
          <w:lang w:val="en-US" w:eastAsia="zh-CN" w:bidi="ar-SA"/>
        </w:rPr>
        <w:t>20.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5"/>
        <w:rPr>
          <w:rFonts w:ascii="宋体"/>
        </w:rPr>
        <w:sectPr>
          <w:footerReference r:id="rId5" w:type="first"/>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bookmarkStart w:id="86" w:name="_Toc15377226"/>
    </w:p>
    <w:p>
      <w:pPr>
        <w:pStyle w:val="5"/>
        <w:jc w:val="center"/>
        <w:rPr>
          <w:rStyle w:val="31"/>
          <w:rFonts w:hint="eastAsia" w:ascii="黑体" w:hAnsi="黑体" w:eastAsia="黑体"/>
          <w:b w:val="0"/>
          <w:bCs w:val="0"/>
        </w:rPr>
      </w:pPr>
      <w:bookmarkStart w:id="87" w:name="_Toc19005"/>
      <w:bookmarkStart w:id="88" w:name="_Toc15396614"/>
      <w:r>
        <w:rPr>
          <w:rFonts w:hint="eastAsia" w:ascii="黑体" w:hAnsi="黑体" w:eastAsia="黑体"/>
        </w:rPr>
        <w:t>第</w:t>
      </w:r>
      <w:r>
        <w:rPr>
          <w:rStyle w:val="31"/>
          <w:rFonts w:hint="eastAsia" w:ascii="黑体" w:hAnsi="黑体" w:eastAsia="黑体"/>
          <w:b w:val="0"/>
          <w:bCs w:val="0"/>
        </w:rPr>
        <w:t>四部分 附件</w:t>
      </w:r>
      <w:bookmarkEnd w:id="87"/>
      <w:bookmarkEnd w:id="88"/>
    </w:p>
    <w:p>
      <w:pPr>
        <w:pStyle w:val="7"/>
        <w:rPr>
          <w:rFonts w:hint="eastAsia"/>
          <w:lang w:val="en-US" w:eastAsia="zh-CN"/>
        </w:rPr>
      </w:pPr>
      <w:bookmarkStart w:id="89" w:name="_Toc13065"/>
      <w:r>
        <w:rPr>
          <w:rFonts w:hint="eastAsia"/>
          <w:lang w:val="en-US" w:eastAsia="zh-CN"/>
        </w:rPr>
        <w:t>附件1</w:t>
      </w:r>
      <w:bookmarkEnd w:id="89"/>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pPr>
        <w:jc w:val="center"/>
        <w:rPr>
          <w:rFonts w:hint="eastAsia"/>
          <w:lang w:val="en-US" w:eastAsia="zh-CN"/>
        </w:rPr>
      </w:pPr>
      <w:r>
        <w:rPr>
          <w:rFonts w:hint="default" w:ascii="Times New Roman" w:hAnsi="Times New Roman" w:eastAsia="仿宋_GB2312" w:cs="Times New Roman"/>
          <w:sz w:val="32"/>
          <w:szCs w:val="32"/>
          <w:highlight w:val="none"/>
          <w:shd w:val="clear" w:color="auto" w:fill="FFFFFF"/>
        </w:rPr>
        <w:t>（报告范围包括机关和下属单位）</w:t>
      </w:r>
    </w:p>
    <w:p>
      <w:pPr>
        <w:keepNext w:val="0"/>
        <w:keepLines w:val="0"/>
        <w:pageBreakBefore w:val="0"/>
        <w:widowControl/>
        <w:kinsoku/>
        <w:wordWrap/>
        <w:overflowPunct/>
        <w:topLinePunct w:val="0"/>
        <w:bidi w:val="0"/>
        <w:adjustRightInd/>
        <w:snapToGrid/>
        <w:spacing w:line="240" w:lineRule="auto"/>
        <w:ind w:left="0" w:leftChars="0" w:firstLine="640" w:firstLineChars="200"/>
        <w:jc w:val="both"/>
        <w:textAlignment w:val="auto"/>
        <w:rPr>
          <w:rFonts w:hint="eastAsia" w:ascii="方正黑体_GBK" w:hAnsi="方正黑体_GBK" w:eastAsia="方正黑体_GBK" w:cs="方正黑体_GBK"/>
          <w:color w:val="000000"/>
          <w:spacing w:val="0"/>
          <w:kern w:val="0"/>
          <w:sz w:val="32"/>
          <w:szCs w:val="32"/>
        </w:rPr>
      </w:pPr>
    </w:p>
    <w:p>
      <w:pPr>
        <w:keepNext w:val="0"/>
        <w:keepLines w:val="0"/>
        <w:pageBreakBefore w:val="0"/>
        <w:widowControl/>
        <w:kinsoku/>
        <w:wordWrap/>
        <w:overflowPunct/>
        <w:topLinePunct w:val="0"/>
        <w:bidi w:val="0"/>
        <w:adjustRightInd/>
        <w:snapToGrid/>
        <w:spacing w:line="240" w:lineRule="auto"/>
        <w:ind w:left="0" w:leftChars="0" w:firstLine="640" w:firstLineChars="200"/>
        <w:jc w:val="both"/>
        <w:textAlignment w:val="auto"/>
        <w:rPr>
          <w:rFonts w:hint="eastAsia" w:ascii="方正黑体_GBK" w:hAnsi="方正黑体_GBK" w:eastAsia="方正黑体_GBK" w:cs="方正黑体_GBK"/>
          <w:color w:val="000000"/>
          <w:spacing w:val="0"/>
          <w:kern w:val="0"/>
          <w:sz w:val="32"/>
          <w:szCs w:val="32"/>
          <w:lang w:eastAsia="zh-CN"/>
        </w:rPr>
      </w:pPr>
      <w:r>
        <w:rPr>
          <w:rFonts w:hint="eastAsia" w:ascii="方正黑体_GBK" w:hAnsi="方正黑体_GBK" w:eastAsia="方正黑体_GBK" w:cs="方正黑体_GBK"/>
          <w:color w:val="000000"/>
          <w:spacing w:val="0"/>
          <w:kern w:val="0"/>
          <w:sz w:val="32"/>
          <w:szCs w:val="32"/>
        </w:rPr>
        <w:t>一、部门</w:t>
      </w:r>
      <w:r>
        <w:rPr>
          <w:rFonts w:hint="eastAsia" w:ascii="方正黑体_GBK" w:hAnsi="方正黑体_GBK" w:eastAsia="方正黑体_GBK" w:cs="方正黑体_GBK"/>
          <w:color w:val="000000"/>
          <w:spacing w:val="0"/>
          <w:kern w:val="0"/>
          <w:sz w:val="32"/>
          <w:szCs w:val="32"/>
          <w:lang w:eastAsia="zh-CN"/>
        </w:rPr>
        <w:t>基本情况</w:t>
      </w:r>
    </w:p>
    <w:p>
      <w:pPr>
        <w:keepNext w:val="0"/>
        <w:keepLines w:val="0"/>
        <w:pageBreakBefore w:val="0"/>
        <w:kinsoku/>
        <w:wordWrap/>
        <w:overflowPunct/>
        <w:topLinePunct w:val="0"/>
        <w:bidi w:val="0"/>
        <w:adjustRightInd/>
        <w:snapToGrid/>
        <w:spacing w:line="240" w:lineRule="auto"/>
        <w:ind w:left="0" w:leftChars="0" w:firstLine="642" w:firstLineChars="200"/>
        <w:jc w:val="both"/>
        <w:textAlignment w:val="auto"/>
        <w:rPr>
          <w:rFonts w:hint="eastAsia" w:ascii="方正楷体_GBK" w:hAnsi="方正楷体_GBK" w:eastAsia="方正楷体_GBK" w:cs="方正楷体_GBK"/>
          <w:b/>
          <w:color w:val="000000"/>
          <w:spacing w:val="0"/>
          <w:sz w:val="32"/>
          <w:szCs w:val="32"/>
        </w:rPr>
      </w:pPr>
      <w:r>
        <w:rPr>
          <w:rFonts w:hint="eastAsia" w:ascii="方正楷体_GBK" w:hAnsi="方正楷体_GBK" w:eastAsia="方正楷体_GBK" w:cs="方正楷体_GBK"/>
          <w:b/>
          <w:color w:val="000000"/>
          <w:spacing w:val="0"/>
          <w:sz w:val="32"/>
          <w:szCs w:val="32"/>
        </w:rPr>
        <w:t>（一）机构组成</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楷体_GB2312" w:eastAsia="仿宋"/>
          <w:b/>
          <w:color w:val="000000"/>
          <w:spacing w:val="0"/>
          <w:sz w:val="32"/>
          <w:szCs w:val="32"/>
        </w:rPr>
      </w:pPr>
      <w:r>
        <w:rPr>
          <w:rFonts w:hint="eastAsia" w:ascii="方正仿宋_GBK" w:hAnsi="方正仿宋_GBK" w:eastAsia="方正仿宋_GBK" w:cs="方正仿宋_GBK"/>
          <w:color w:val="000000"/>
          <w:spacing w:val="0"/>
          <w:sz w:val="32"/>
          <w:szCs w:val="32"/>
        </w:rPr>
        <w:t>攀枝花市民族宗教事务委员会设</w:t>
      </w:r>
      <w:r>
        <w:rPr>
          <w:rFonts w:hint="default" w:ascii="Times New Roman" w:hAnsi="Times New Roman" w:eastAsia="仿宋" w:cs="Times New Roman"/>
          <w:color w:val="000000"/>
          <w:spacing w:val="0"/>
          <w:sz w:val="32"/>
          <w:szCs w:val="32"/>
        </w:rPr>
        <w:t>5</w:t>
      </w:r>
      <w:r>
        <w:rPr>
          <w:rFonts w:hint="eastAsia" w:ascii="方正仿宋_GBK" w:hAnsi="方正仿宋_GBK" w:eastAsia="方正仿宋_GBK" w:cs="方正仿宋_GBK"/>
          <w:color w:val="000000"/>
          <w:spacing w:val="0"/>
          <w:sz w:val="32"/>
          <w:szCs w:val="32"/>
        </w:rPr>
        <w:t>个科：民族经济发展科、民族事务科、宗教事务科、协调推进科、民族</w:t>
      </w:r>
      <w:r>
        <w:rPr>
          <w:rFonts w:hint="eastAsia" w:ascii="方正仿宋_GBK" w:hAnsi="方正仿宋_GBK" w:eastAsia="方正仿宋_GBK" w:cs="方正仿宋_GBK"/>
          <w:color w:val="000000"/>
          <w:spacing w:val="0"/>
          <w:sz w:val="32"/>
          <w:szCs w:val="32"/>
          <w:lang w:eastAsia="zh-CN"/>
        </w:rPr>
        <w:t>团结促进</w:t>
      </w:r>
      <w:r>
        <w:rPr>
          <w:rFonts w:hint="eastAsia" w:ascii="方正仿宋_GBK" w:hAnsi="方正仿宋_GBK" w:eastAsia="方正仿宋_GBK" w:cs="方正仿宋_GBK"/>
          <w:color w:val="000000"/>
          <w:spacing w:val="0"/>
          <w:sz w:val="32"/>
          <w:szCs w:val="32"/>
        </w:rPr>
        <w:t>科，另下属全额拨款事业单位</w:t>
      </w:r>
      <w:r>
        <w:rPr>
          <w:rFonts w:hint="default" w:ascii="Times New Roman" w:hAnsi="Times New Roman" w:eastAsia="仿宋" w:cs="Times New Roman"/>
          <w:color w:val="000000"/>
          <w:spacing w:val="0"/>
          <w:sz w:val="32"/>
          <w:szCs w:val="32"/>
        </w:rPr>
        <w:t>1</w:t>
      </w:r>
      <w:r>
        <w:rPr>
          <w:rFonts w:hint="eastAsia" w:ascii="方正仿宋_GBK" w:hAnsi="方正仿宋_GBK" w:eastAsia="方正仿宋_GBK" w:cs="方正仿宋_GBK"/>
          <w:color w:val="000000"/>
          <w:spacing w:val="0"/>
          <w:sz w:val="32"/>
          <w:szCs w:val="32"/>
        </w:rPr>
        <w:t>个—攀枝花市民族宗教事务服务中心（不独立核算）。</w:t>
      </w:r>
    </w:p>
    <w:p>
      <w:pPr>
        <w:keepNext w:val="0"/>
        <w:keepLines w:val="0"/>
        <w:pageBreakBefore w:val="0"/>
        <w:kinsoku/>
        <w:wordWrap/>
        <w:overflowPunct/>
        <w:topLinePunct w:val="0"/>
        <w:bidi w:val="0"/>
        <w:adjustRightInd/>
        <w:snapToGrid/>
        <w:spacing w:line="240" w:lineRule="auto"/>
        <w:ind w:left="0" w:leftChars="0" w:firstLine="642" w:firstLineChars="200"/>
        <w:jc w:val="both"/>
        <w:textAlignment w:val="auto"/>
        <w:rPr>
          <w:rFonts w:hint="eastAsia" w:ascii="方正楷体_GBK" w:hAnsi="方正楷体_GBK" w:eastAsia="方正楷体_GBK" w:cs="方正楷体_GBK"/>
          <w:b/>
          <w:color w:val="000000"/>
          <w:spacing w:val="0"/>
          <w:sz w:val="32"/>
          <w:szCs w:val="32"/>
        </w:rPr>
      </w:pPr>
      <w:r>
        <w:rPr>
          <w:rFonts w:hint="eastAsia" w:ascii="方正楷体_GBK" w:hAnsi="方正楷体_GBK" w:eastAsia="方正楷体_GBK" w:cs="方正楷体_GBK"/>
          <w:b/>
          <w:color w:val="000000"/>
          <w:spacing w:val="0"/>
          <w:sz w:val="32"/>
          <w:szCs w:val="32"/>
        </w:rPr>
        <w:t>（二）机构职能</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仿宋" w:cs="Times New Roman"/>
          <w:color w:val="000000"/>
          <w:spacing w:val="0"/>
          <w:sz w:val="32"/>
          <w:szCs w:val="32"/>
        </w:rPr>
      </w:pPr>
      <w:r>
        <w:rPr>
          <w:rFonts w:hint="eastAsia" w:ascii="Times New Roman" w:hAnsi="Times New Roman" w:eastAsia="仿宋" w:cs="Times New Roman"/>
          <w:color w:val="000000"/>
          <w:spacing w:val="0"/>
          <w:sz w:val="32"/>
          <w:szCs w:val="32"/>
        </w:rPr>
        <w:t>1.</w:t>
      </w:r>
      <w:r>
        <w:rPr>
          <w:rFonts w:hint="eastAsia" w:ascii="方正仿宋_GBK" w:hAnsi="方正仿宋_GBK" w:eastAsia="方正仿宋_GBK" w:cs="方正仿宋_GBK"/>
          <w:color w:val="000000"/>
          <w:spacing w:val="0"/>
          <w:sz w:val="32"/>
          <w:szCs w:val="32"/>
        </w:rPr>
        <w:t>贯彻执行党和政府关于民族、宗教工作的法律法规和方针政策。</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仿宋" w:cs="Times New Roman"/>
          <w:color w:val="000000"/>
          <w:spacing w:val="0"/>
          <w:sz w:val="32"/>
          <w:szCs w:val="32"/>
        </w:rPr>
      </w:pPr>
      <w:r>
        <w:rPr>
          <w:rFonts w:hint="eastAsia" w:ascii="Times New Roman" w:hAnsi="Times New Roman" w:eastAsia="仿宋" w:cs="Times New Roman"/>
          <w:color w:val="000000"/>
          <w:spacing w:val="0"/>
          <w:sz w:val="32"/>
          <w:szCs w:val="32"/>
        </w:rPr>
        <w:t>2.</w:t>
      </w:r>
      <w:r>
        <w:rPr>
          <w:rFonts w:hint="eastAsia" w:ascii="方正仿宋_GBK" w:hAnsi="方正仿宋_GBK" w:eastAsia="方正仿宋_GBK" w:cs="方正仿宋_GBK"/>
          <w:color w:val="000000"/>
          <w:spacing w:val="0"/>
          <w:sz w:val="32"/>
          <w:szCs w:val="32"/>
        </w:rPr>
        <w:t>组织开展民族理论、民族政策和民族问题等重大课题的调查研究，提出有关民族工作的政策和建议；调查全市宗教现状，掌握动态和发展趋势，提出政策性意见和建议。</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仿宋" w:cs="Times New Roman"/>
          <w:color w:val="000000"/>
          <w:spacing w:val="0"/>
          <w:sz w:val="32"/>
          <w:szCs w:val="32"/>
        </w:rPr>
      </w:pPr>
      <w:r>
        <w:rPr>
          <w:rFonts w:hint="eastAsia" w:ascii="Times New Roman" w:hAnsi="Times New Roman" w:eastAsia="仿宋" w:cs="Times New Roman"/>
          <w:color w:val="000000"/>
          <w:spacing w:val="0"/>
          <w:sz w:val="32"/>
          <w:szCs w:val="32"/>
        </w:rPr>
        <w:t>3.</w:t>
      </w:r>
      <w:r>
        <w:rPr>
          <w:rFonts w:hint="eastAsia" w:ascii="方正仿宋_GBK" w:hAnsi="方正仿宋_GBK" w:eastAsia="方正仿宋_GBK" w:cs="方正仿宋_GBK"/>
          <w:color w:val="000000"/>
          <w:spacing w:val="0"/>
          <w:sz w:val="32"/>
          <w:szCs w:val="32"/>
        </w:rPr>
        <w:t>监督办理少数民族权益保障事宜。</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仿宋" w:cs="Times New Roman"/>
          <w:color w:val="000000"/>
          <w:spacing w:val="0"/>
          <w:sz w:val="32"/>
          <w:szCs w:val="32"/>
        </w:rPr>
      </w:pPr>
      <w:r>
        <w:rPr>
          <w:rFonts w:hint="eastAsia" w:ascii="Times New Roman" w:hAnsi="Times New Roman" w:eastAsia="仿宋" w:cs="Times New Roman"/>
          <w:color w:val="000000"/>
          <w:spacing w:val="0"/>
          <w:sz w:val="32"/>
          <w:szCs w:val="32"/>
        </w:rPr>
        <w:t>4.</w:t>
      </w:r>
      <w:r>
        <w:rPr>
          <w:rFonts w:hint="eastAsia" w:ascii="方正仿宋_GBK" w:hAnsi="方正仿宋_GBK" w:eastAsia="方正仿宋_GBK" w:cs="方正仿宋_GBK"/>
          <w:color w:val="000000"/>
          <w:spacing w:val="0"/>
          <w:sz w:val="32"/>
          <w:szCs w:val="32"/>
        </w:rPr>
        <w:t>推动宗教界人士开展爱国主义、社会主义、维护祖国统一和民族团结的自我教育；巩固和发展各民族宗教界的爱国统一战线；会同处理民族关系中的重大事宜，促进各民族间的平等团结、互助合作，维护社会稳定和国家统一。</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仿宋" w:cs="Times New Roman"/>
          <w:color w:val="000000"/>
          <w:spacing w:val="0"/>
          <w:sz w:val="32"/>
          <w:szCs w:val="32"/>
        </w:rPr>
      </w:pPr>
      <w:r>
        <w:rPr>
          <w:rFonts w:hint="eastAsia" w:ascii="Times New Roman" w:hAnsi="Times New Roman" w:eastAsia="仿宋" w:cs="Times New Roman"/>
          <w:color w:val="000000"/>
          <w:spacing w:val="0"/>
          <w:sz w:val="32"/>
          <w:szCs w:val="32"/>
        </w:rPr>
        <w:t>5.</w:t>
      </w:r>
      <w:r>
        <w:rPr>
          <w:rFonts w:hint="eastAsia" w:ascii="方正仿宋_GBK" w:hAnsi="方正仿宋_GBK" w:eastAsia="方正仿宋_GBK" w:cs="方正仿宋_GBK"/>
          <w:color w:val="000000"/>
          <w:spacing w:val="0"/>
          <w:sz w:val="32"/>
          <w:szCs w:val="32"/>
        </w:rPr>
        <w:t>开展民族、宗教政策、法规的宣传教育工作并监督实施；组织民族团结进步表彰活动。</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仿宋" w:cs="Times New Roman"/>
          <w:color w:val="000000"/>
          <w:spacing w:val="0"/>
          <w:sz w:val="32"/>
          <w:szCs w:val="32"/>
        </w:rPr>
      </w:pPr>
      <w:r>
        <w:rPr>
          <w:rFonts w:hint="eastAsia" w:ascii="Times New Roman" w:hAnsi="Times New Roman" w:eastAsia="仿宋" w:cs="Times New Roman"/>
          <w:color w:val="000000"/>
          <w:spacing w:val="0"/>
          <w:sz w:val="32"/>
          <w:szCs w:val="32"/>
        </w:rPr>
        <w:t>6.</w:t>
      </w:r>
      <w:r>
        <w:rPr>
          <w:rFonts w:hint="eastAsia" w:ascii="方正仿宋_GBK" w:hAnsi="方正仿宋_GBK" w:eastAsia="方正仿宋_GBK" w:cs="方正仿宋_GBK"/>
          <w:color w:val="000000"/>
          <w:spacing w:val="0"/>
          <w:sz w:val="32"/>
          <w:szCs w:val="32"/>
        </w:rPr>
        <w:t>分析民族地区经济运行情况，研究提出民族地区经济发展的有关问题和特殊政策、措施；拟订我市民族地区改革开放、经济发展规划；组织协调民族地区科技发展、对口支援、经济技术协作和民族贸易工作；管理三州开发资金和支援不发达地区发展资金（以下简称“两项资金”），研究提出少数民族和民族地区有关专项资金的分配与使用建议；协助承办民族地区扶贫开发事宜。</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仿宋" w:cs="Times New Roman"/>
          <w:color w:val="000000"/>
          <w:spacing w:val="0"/>
          <w:sz w:val="32"/>
          <w:szCs w:val="32"/>
        </w:rPr>
      </w:pPr>
      <w:r>
        <w:rPr>
          <w:rFonts w:hint="eastAsia" w:ascii="Times New Roman" w:hAnsi="Times New Roman" w:eastAsia="仿宋" w:cs="Times New Roman"/>
          <w:color w:val="000000"/>
          <w:spacing w:val="0"/>
          <w:sz w:val="32"/>
          <w:szCs w:val="32"/>
        </w:rPr>
        <w:t>7.</w:t>
      </w:r>
      <w:r>
        <w:rPr>
          <w:rFonts w:hint="eastAsia" w:ascii="方正仿宋_GBK" w:hAnsi="方正仿宋_GBK" w:eastAsia="方正仿宋_GBK" w:cs="方正仿宋_GBK"/>
          <w:color w:val="000000"/>
          <w:spacing w:val="0"/>
          <w:sz w:val="32"/>
          <w:szCs w:val="32"/>
        </w:rPr>
        <w:t>研究少数民族和民族地区教育、文化、科技、卫生、体育、计划生育、新闻出版等方面的特殊问题，提出相关建议，并承办相应事务。</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仿宋" w:cs="Times New Roman"/>
          <w:color w:val="000000"/>
          <w:spacing w:val="0"/>
          <w:sz w:val="32"/>
          <w:szCs w:val="32"/>
        </w:rPr>
      </w:pPr>
      <w:r>
        <w:rPr>
          <w:rFonts w:hint="eastAsia" w:ascii="Times New Roman" w:hAnsi="Times New Roman" w:eastAsia="仿宋" w:cs="Times New Roman"/>
          <w:color w:val="000000"/>
          <w:spacing w:val="0"/>
          <w:sz w:val="32"/>
          <w:szCs w:val="32"/>
        </w:rPr>
        <w:t>8.</w:t>
      </w:r>
      <w:r>
        <w:rPr>
          <w:rFonts w:hint="eastAsia" w:ascii="方正仿宋_GBK" w:hAnsi="方正仿宋_GBK" w:eastAsia="方正仿宋_GBK" w:cs="方正仿宋_GBK"/>
          <w:color w:val="000000"/>
          <w:spacing w:val="0"/>
          <w:sz w:val="32"/>
          <w:szCs w:val="32"/>
        </w:rPr>
        <w:t>管理少数民族语言文字工作，指导少数民族古籍的搜集、整理、出版工作。</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仿宋" w:cs="Times New Roman"/>
          <w:color w:val="000000"/>
          <w:spacing w:val="0"/>
          <w:sz w:val="32"/>
          <w:szCs w:val="32"/>
        </w:rPr>
      </w:pPr>
      <w:r>
        <w:rPr>
          <w:rFonts w:hint="eastAsia" w:ascii="Times New Roman" w:hAnsi="Times New Roman" w:eastAsia="仿宋" w:cs="Times New Roman"/>
          <w:color w:val="000000"/>
          <w:spacing w:val="0"/>
          <w:sz w:val="32"/>
          <w:szCs w:val="32"/>
        </w:rPr>
        <w:t>9.</w:t>
      </w:r>
      <w:r>
        <w:rPr>
          <w:rFonts w:hint="eastAsia" w:ascii="方正仿宋_GBK" w:hAnsi="方正仿宋_GBK" w:eastAsia="方正仿宋_GBK" w:cs="方正仿宋_GBK"/>
          <w:color w:val="000000"/>
          <w:spacing w:val="0"/>
          <w:sz w:val="32"/>
          <w:szCs w:val="32"/>
        </w:rPr>
        <w:t>组织对全市少数民族权益状况的调查研究，承办相关事宜。</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仿宋" w:cs="Times New Roman"/>
          <w:color w:val="000000"/>
          <w:spacing w:val="0"/>
          <w:sz w:val="32"/>
          <w:szCs w:val="32"/>
        </w:rPr>
      </w:pPr>
      <w:r>
        <w:rPr>
          <w:rFonts w:hint="eastAsia" w:ascii="Times New Roman" w:hAnsi="Times New Roman" w:eastAsia="仿宋" w:cs="Times New Roman"/>
          <w:color w:val="000000"/>
          <w:spacing w:val="0"/>
          <w:sz w:val="32"/>
          <w:szCs w:val="32"/>
        </w:rPr>
        <w:t>10.</w:t>
      </w:r>
      <w:r>
        <w:rPr>
          <w:rFonts w:hint="eastAsia" w:ascii="方正仿宋_GBK" w:hAnsi="方正仿宋_GBK" w:eastAsia="方正仿宋_GBK" w:cs="方正仿宋_GBK"/>
          <w:color w:val="000000"/>
          <w:spacing w:val="0"/>
          <w:sz w:val="32"/>
          <w:szCs w:val="32"/>
        </w:rPr>
        <w:t>依法保护公民宗教信仰自由；保护宗教团体、宗教活动场所和宗教界人士的合法权利；保护宗教教职人员履行正常的教务活动；保护信教群众正常的宗教活动。</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仿宋" w:cs="Times New Roman"/>
          <w:color w:val="000000"/>
          <w:spacing w:val="0"/>
          <w:sz w:val="32"/>
          <w:szCs w:val="32"/>
        </w:rPr>
      </w:pPr>
      <w:r>
        <w:rPr>
          <w:rFonts w:hint="eastAsia" w:ascii="Times New Roman" w:hAnsi="Times New Roman" w:eastAsia="仿宋" w:cs="Times New Roman"/>
          <w:color w:val="000000"/>
          <w:spacing w:val="0"/>
          <w:sz w:val="32"/>
          <w:szCs w:val="32"/>
        </w:rPr>
        <w:t>11.</w:t>
      </w:r>
      <w:r>
        <w:rPr>
          <w:rFonts w:hint="eastAsia" w:ascii="方正仿宋_GBK" w:hAnsi="方正仿宋_GBK" w:eastAsia="方正仿宋_GBK" w:cs="方正仿宋_GBK"/>
          <w:color w:val="000000"/>
          <w:spacing w:val="0"/>
          <w:sz w:val="32"/>
          <w:szCs w:val="32"/>
        </w:rPr>
        <w:t>负责宗教法律、法规和政策贯彻实施过程中的行政管理和监督工作；引导、促进宗教在法律、法规和政策范围内活动，防止和制止不法分子利用宗教进行非法、违法活动。</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仿宋" w:cs="Times New Roman"/>
          <w:color w:val="000000"/>
          <w:spacing w:val="0"/>
          <w:sz w:val="32"/>
          <w:szCs w:val="32"/>
        </w:rPr>
      </w:pPr>
      <w:r>
        <w:rPr>
          <w:rFonts w:hint="eastAsia" w:ascii="Times New Roman" w:hAnsi="Times New Roman" w:eastAsia="仿宋" w:cs="Times New Roman"/>
          <w:color w:val="000000"/>
          <w:spacing w:val="0"/>
          <w:sz w:val="32"/>
          <w:szCs w:val="32"/>
        </w:rPr>
        <w:t>12.</w:t>
      </w:r>
      <w:r>
        <w:rPr>
          <w:rFonts w:hint="eastAsia" w:ascii="方正仿宋_GBK" w:hAnsi="方正仿宋_GBK" w:eastAsia="方正仿宋_GBK" w:cs="方正仿宋_GBK"/>
          <w:color w:val="000000"/>
          <w:spacing w:val="0"/>
          <w:sz w:val="32"/>
          <w:szCs w:val="32"/>
        </w:rPr>
        <w:t>负责组织实施安置凉山州自发迁居农民工作规划；督促县（区）和市级相关部门抓好凉山州自发迁居农民的扶贫、救济、计生等工作；拟订凉山州自发迁居农民发展规划，积极向省政府和上级有关部门争取政策和专项资金，并监督检查政策和资金的落实，加快凉山州自发迁居农民的发展；加强对自发迁居农民的管理，协助县（区）和相关部门处理好自发迁居农民的遗留问题。指导县（区）全面完成凉山州自发迁居农民的安置发展工作。</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仿宋" w:cs="Times New Roman"/>
          <w:color w:val="000000"/>
          <w:spacing w:val="0"/>
          <w:sz w:val="32"/>
          <w:szCs w:val="32"/>
        </w:rPr>
      </w:pPr>
      <w:r>
        <w:rPr>
          <w:rFonts w:hint="eastAsia" w:ascii="Times New Roman" w:hAnsi="Times New Roman" w:eastAsia="仿宋" w:cs="Times New Roman"/>
          <w:color w:val="000000"/>
          <w:spacing w:val="0"/>
          <w:sz w:val="32"/>
          <w:szCs w:val="32"/>
        </w:rPr>
        <w:t>13.</w:t>
      </w:r>
      <w:r>
        <w:rPr>
          <w:rFonts w:hint="eastAsia" w:ascii="方正仿宋_GBK" w:hAnsi="方正仿宋_GBK" w:eastAsia="方正仿宋_GBK" w:cs="方正仿宋_GBK"/>
          <w:color w:val="000000"/>
          <w:spacing w:val="0"/>
          <w:sz w:val="32"/>
          <w:szCs w:val="32"/>
        </w:rPr>
        <w:t>协助有关部门做好民族地区干部队伍建设工作；帮助宗教团体培养、教育宗教教职人员，搞好自身建设；办理宗教团体需政府协助和协调的事务。</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仿宋" w:cs="Times New Roman"/>
          <w:color w:val="000000"/>
          <w:spacing w:val="0"/>
          <w:sz w:val="32"/>
          <w:szCs w:val="32"/>
        </w:rPr>
      </w:pPr>
      <w:r>
        <w:rPr>
          <w:rFonts w:hint="eastAsia" w:ascii="Times New Roman" w:hAnsi="Times New Roman" w:eastAsia="仿宋" w:cs="Times New Roman"/>
          <w:color w:val="000000"/>
          <w:spacing w:val="0"/>
          <w:sz w:val="32"/>
          <w:szCs w:val="32"/>
        </w:rPr>
        <w:t>14.</w:t>
      </w:r>
      <w:r>
        <w:rPr>
          <w:rFonts w:hint="eastAsia" w:ascii="方正仿宋_GBK" w:hAnsi="方正仿宋_GBK" w:eastAsia="方正仿宋_GBK" w:cs="方正仿宋_GBK"/>
          <w:color w:val="000000"/>
          <w:spacing w:val="0"/>
          <w:sz w:val="32"/>
          <w:szCs w:val="32"/>
        </w:rPr>
        <w:t>负责民族工作领域的对外交流与合作，开展少数民族和民族地区的对外宣传工作；组织、接待少数民族学习、参观、考察等事宜。支持、帮助宗教界开展对外和对香港、澳门、台湾地区的友好交往活动。</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方正仿宋_GBK" w:hAnsi="方正仿宋_GBK" w:eastAsia="方正仿宋_GBK" w:cs="方正仿宋_GBK"/>
          <w:color w:val="000000"/>
          <w:spacing w:val="0"/>
          <w:sz w:val="32"/>
          <w:szCs w:val="32"/>
        </w:rPr>
      </w:pPr>
      <w:r>
        <w:rPr>
          <w:rFonts w:hint="eastAsia" w:ascii="Times New Roman" w:hAnsi="Times New Roman" w:eastAsia="仿宋" w:cs="Times New Roman"/>
          <w:color w:val="000000"/>
          <w:spacing w:val="0"/>
          <w:sz w:val="32"/>
          <w:szCs w:val="32"/>
        </w:rPr>
        <w:t>15.</w:t>
      </w:r>
      <w:r>
        <w:rPr>
          <w:rFonts w:hint="eastAsia" w:ascii="方正仿宋_GBK" w:hAnsi="方正仿宋_GBK" w:eastAsia="方正仿宋_GBK" w:cs="方正仿宋_GBK"/>
          <w:color w:val="000000"/>
          <w:spacing w:val="0"/>
          <w:sz w:val="32"/>
          <w:szCs w:val="32"/>
        </w:rPr>
        <w:t>指</w:t>
      </w:r>
      <w:r>
        <w:rPr>
          <w:rFonts w:hint="eastAsia" w:ascii="方正仿宋_GBK" w:hAnsi="方正仿宋_GBK" w:eastAsia="方正仿宋_GBK" w:cs="方正仿宋_GBK"/>
          <w:sz w:val="32"/>
          <w:szCs w:val="32"/>
        </w:rPr>
        <w:t>导各县（区）民族宗教工作。</w:t>
      </w:r>
    </w:p>
    <w:p>
      <w:pPr>
        <w:keepNext w:val="0"/>
        <w:keepLines w:val="0"/>
        <w:pageBreakBefore w:val="0"/>
        <w:kinsoku/>
        <w:wordWrap/>
        <w:overflowPunct/>
        <w:topLinePunct w:val="0"/>
        <w:bidi w:val="0"/>
        <w:adjustRightInd/>
        <w:snapToGrid/>
        <w:spacing w:line="240" w:lineRule="auto"/>
        <w:ind w:left="0" w:leftChars="0" w:firstLine="642" w:firstLineChars="200"/>
        <w:jc w:val="both"/>
        <w:textAlignment w:val="auto"/>
        <w:rPr>
          <w:rFonts w:hint="eastAsia" w:ascii="方正楷体_GBK" w:hAnsi="方正楷体_GBK" w:eastAsia="方正楷体_GBK" w:cs="方正楷体_GBK"/>
          <w:b/>
          <w:color w:val="000000"/>
          <w:spacing w:val="0"/>
          <w:sz w:val="32"/>
          <w:szCs w:val="32"/>
        </w:rPr>
      </w:pPr>
      <w:r>
        <w:rPr>
          <w:rFonts w:hint="eastAsia" w:ascii="方正楷体_GBK" w:hAnsi="方正楷体_GBK" w:eastAsia="方正楷体_GBK" w:cs="方正楷体_GBK"/>
          <w:b/>
          <w:color w:val="000000"/>
          <w:spacing w:val="0"/>
          <w:sz w:val="32"/>
          <w:szCs w:val="32"/>
        </w:rPr>
        <w:t>（三）人员概况</w:t>
      </w:r>
    </w:p>
    <w:p>
      <w:pPr>
        <w:keepNext w:val="0"/>
        <w:keepLines w:val="0"/>
        <w:pageBreakBefore w:val="0"/>
        <w:widowControl/>
        <w:shd w:val="clear" w:color="auto" w:fill="FFFFFF"/>
        <w:kinsoku/>
        <w:wordWrap/>
        <w:overflowPunct/>
        <w:topLinePunct w:val="0"/>
        <w:bidi w:val="0"/>
        <w:adjustRightInd/>
        <w:snapToGrid/>
        <w:spacing w:line="240" w:lineRule="auto"/>
        <w:ind w:left="0" w:leftChars="0" w:firstLine="640" w:firstLineChars="200"/>
        <w:jc w:val="both"/>
        <w:textAlignment w:val="auto"/>
        <w:rPr>
          <w:rFonts w:hint="eastAsia" w:ascii="仿宋_GB2312"/>
          <w:color w:val="000000"/>
          <w:spacing w:val="0"/>
          <w:sz w:val="32"/>
          <w:szCs w:val="32"/>
        </w:rPr>
      </w:pPr>
      <w:r>
        <w:rPr>
          <w:rFonts w:hint="eastAsia" w:ascii="方正仿宋_GBK" w:hAnsi="方正仿宋_GBK" w:eastAsia="方正仿宋_GBK" w:cs="方正仿宋_GBK"/>
          <w:color w:val="000000"/>
          <w:spacing w:val="0"/>
          <w:sz w:val="32"/>
          <w:szCs w:val="32"/>
        </w:rPr>
        <w:t>机关公务员编制</w:t>
      </w:r>
      <w:r>
        <w:rPr>
          <w:rFonts w:hint="default" w:ascii="Times New Roman" w:hAnsi="Times New Roman" w:eastAsia="仿宋" w:cs="Times New Roman"/>
          <w:color w:val="000000"/>
          <w:spacing w:val="0"/>
          <w:sz w:val="32"/>
          <w:szCs w:val="32"/>
        </w:rPr>
        <w:t>13</w:t>
      </w:r>
      <w:r>
        <w:rPr>
          <w:rFonts w:hint="eastAsia" w:ascii="方正仿宋_GBK" w:hAnsi="方正仿宋_GBK" w:eastAsia="方正仿宋_GBK" w:cs="方正仿宋_GBK"/>
          <w:color w:val="000000"/>
          <w:spacing w:val="0"/>
          <w:sz w:val="32"/>
          <w:szCs w:val="32"/>
        </w:rPr>
        <w:t>人、机关工勤人员编制</w:t>
      </w:r>
      <w:r>
        <w:rPr>
          <w:rFonts w:hint="default" w:ascii="Times New Roman" w:hAnsi="Times New Roman" w:eastAsia="仿宋" w:cs="Times New Roman"/>
          <w:color w:val="000000"/>
          <w:spacing w:val="0"/>
          <w:sz w:val="32"/>
          <w:szCs w:val="32"/>
        </w:rPr>
        <w:t>1</w:t>
      </w:r>
      <w:r>
        <w:rPr>
          <w:rFonts w:hint="eastAsia" w:ascii="方正仿宋_GBK" w:hAnsi="方正仿宋_GBK" w:eastAsia="方正仿宋_GBK" w:cs="方正仿宋_GBK"/>
          <w:color w:val="000000"/>
          <w:spacing w:val="0"/>
          <w:sz w:val="32"/>
          <w:szCs w:val="32"/>
        </w:rPr>
        <w:t>人、市民族宗教事务服务中心事业编制</w:t>
      </w:r>
      <w:r>
        <w:rPr>
          <w:rFonts w:hint="default" w:ascii="Times New Roman" w:hAnsi="Times New Roman" w:eastAsia="仿宋" w:cs="Times New Roman"/>
          <w:color w:val="000000"/>
          <w:spacing w:val="0"/>
          <w:sz w:val="32"/>
          <w:szCs w:val="32"/>
        </w:rPr>
        <w:t>11</w:t>
      </w:r>
      <w:r>
        <w:rPr>
          <w:rFonts w:hint="eastAsia" w:ascii="方正仿宋_GBK" w:hAnsi="方正仿宋_GBK" w:eastAsia="方正仿宋_GBK" w:cs="方正仿宋_GBK"/>
          <w:color w:val="000000"/>
          <w:spacing w:val="0"/>
          <w:sz w:val="32"/>
          <w:szCs w:val="32"/>
        </w:rPr>
        <w:t>人。截至</w:t>
      </w:r>
      <w:r>
        <w:rPr>
          <w:rFonts w:hint="default" w:ascii="Times New Roman" w:hAnsi="Times New Roman" w:eastAsia="仿宋" w:cs="Times New Roman"/>
          <w:color w:val="000000"/>
          <w:spacing w:val="0"/>
          <w:sz w:val="32"/>
          <w:szCs w:val="32"/>
        </w:rPr>
        <w:t>202</w:t>
      </w:r>
      <w:r>
        <w:rPr>
          <w:rFonts w:hint="eastAsia" w:ascii="Times New Roman" w:hAnsi="Times New Roman" w:eastAsia="仿宋" w:cs="Times New Roman"/>
          <w:color w:val="000000"/>
          <w:spacing w:val="0"/>
          <w:sz w:val="32"/>
          <w:szCs w:val="32"/>
          <w:lang w:val="en-US" w:eastAsia="zh-CN"/>
        </w:rPr>
        <w:t>4</w:t>
      </w:r>
      <w:r>
        <w:rPr>
          <w:rFonts w:hint="eastAsia" w:ascii="方正仿宋_GBK" w:hAnsi="方正仿宋_GBK" w:eastAsia="方正仿宋_GBK" w:cs="方正仿宋_GBK"/>
          <w:color w:val="000000"/>
          <w:spacing w:val="0"/>
          <w:sz w:val="32"/>
          <w:szCs w:val="32"/>
        </w:rPr>
        <w:t>年年末，我委共有在职职工</w:t>
      </w:r>
      <w:r>
        <w:rPr>
          <w:rFonts w:hint="default" w:ascii="Times New Roman" w:hAnsi="Times New Roman" w:eastAsia="仿宋" w:cs="Times New Roman"/>
          <w:color w:val="000000"/>
          <w:spacing w:val="0"/>
          <w:sz w:val="32"/>
          <w:szCs w:val="32"/>
        </w:rPr>
        <w:t>2</w:t>
      </w:r>
      <w:r>
        <w:rPr>
          <w:rFonts w:hint="eastAsia" w:ascii="Times New Roman" w:hAnsi="Times New Roman" w:eastAsia="仿宋" w:cs="Times New Roman"/>
          <w:color w:val="000000"/>
          <w:spacing w:val="0"/>
          <w:sz w:val="32"/>
          <w:szCs w:val="32"/>
          <w:lang w:val="en-US" w:eastAsia="zh-CN"/>
        </w:rPr>
        <w:t>2</w:t>
      </w:r>
      <w:r>
        <w:rPr>
          <w:rFonts w:hint="eastAsia" w:ascii="方正仿宋_GBK" w:hAnsi="方正仿宋_GBK" w:eastAsia="方正仿宋_GBK" w:cs="方正仿宋_GBK"/>
          <w:color w:val="000000"/>
          <w:spacing w:val="0"/>
          <w:sz w:val="32"/>
          <w:szCs w:val="32"/>
        </w:rPr>
        <w:t>人，其中公务员</w:t>
      </w:r>
      <w:r>
        <w:rPr>
          <w:rFonts w:hint="eastAsia" w:ascii="Times New Roman" w:hAnsi="Times New Roman" w:eastAsia="仿宋" w:cs="Times New Roman"/>
          <w:color w:val="000000"/>
          <w:spacing w:val="0"/>
          <w:sz w:val="32"/>
          <w:szCs w:val="32"/>
          <w:lang w:val="en-US" w:eastAsia="zh-CN"/>
        </w:rPr>
        <w:t>9</w:t>
      </w:r>
      <w:r>
        <w:rPr>
          <w:rFonts w:hint="eastAsia" w:ascii="方正仿宋_GBK" w:hAnsi="方正仿宋_GBK" w:eastAsia="方正仿宋_GBK" w:cs="方正仿宋_GBK"/>
          <w:color w:val="000000"/>
          <w:spacing w:val="0"/>
          <w:sz w:val="32"/>
          <w:szCs w:val="32"/>
        </w:rPr>
        <w:t>人，机关工勤</w:t>
      </w:r>
      <w:r>
        <w:rPr>
          <w:rFonts w:hint="default" w:ascii="Times New Roman" w:hAnsi="Times New Roman" w:eastAsia="仿宋" w:cs="Times New Roman"/>
          <w:color w:val="000000"/>
          <w:spacing w:val="0"/>
          <w:sz w:val="32"/>
          <w:szCs w:val="32"/>
        </w:rPr>
        <w:t>1</w:t>
      </w:r>
      <w:r>
        <w:rPr>
          <w:rFonts w:hint="eastAsia" w:ascii="方正仿宋_GBK" w:hAnsi="方正仿宋_GBK" w:eastAsia="方正仿宋_GBK" w:cs="方正仿宋_GBK"/>
          <w:color w:val="000000"/>
          <w:spacing w:val="0"/>
          <w:sz w:val="32"/>
          <w:szCs w:val="32"/>
        </w:rPr>
        <w:t>人，机关占编聘用</w:t>
      </w:r>
      <w:r>
        <w:rPr>
          <w:rFonts w:hint="default" w:ascii="Times New Roman" w:hAnsi="Times New Roman" w:eastAsia="仿宋" w:cs="Times New Roman"/>
          <w:color w:val="000000"/>
          <w:spacing w:val="0"/>
          <w:sz w:val="32"/>
          <w:szCs w:val="32"/>
        </w:rPr>
        <w:t>86</w:t>
      </w:r>
      <w:r>
        <w:rPr>
          <w:rFonts w:hint="eastAsia" w:ascii="方正仿宋_GBK" w:hAnsi="方正仿宋_GBK" w:eastAsia="方正仿宋_GBK" w:cs="方正仿宋_GBK"/>
          <w:color w:val="000000"/>
          <w:spacing w:val="0"/>
          <w:sz w:val="32"/>
          <w:szCs w:val="32"/>
        </w:rPr>
        <w:t>号文驾驶员</w:t>
      </w:r>
      <w:r>
        <w:rPr>
          <w:rFonts w:hint="default" w:ascii="Times New Roman" w:hAnsi="Times New Roman" w:eastAsia="仿宋" w:cs="Times New Roman"/>
          <w:color w:val="000000"/>
          <w:spacing w:val="0"/>
          <w:sz w:val="32"/>
          <w:szCs w:val="32"/>
        </w:rPr>
        <w:t>1</w:t>
      </w:r>
      <w:r>
        <w:rPr>
          <w:rFonts w:hint="eastAsia" w:ascii="方正仿宋_GBK" w:hAnsi="方正仿宋_GBK" w:eastAsia="方正仿宋_GBK" w:cs="方正仿宋_GBK"/>
          <w:color w:val="000000"/>
          <w:spacing w:val="0"/>
          <w:sz w:val="32"/>
          <w:szCs w:val="32"/>
        </w:rPr>
        <w:t>人，事业人员</w:t>
      </w:r>
      <w:r>
        <w:rPr>
          <w:rFonts w:hint="eastAsia" w:ascii="Times New Roman" w:hAnsi="Times New Roman" w:eastAsia="仿宋" w:cs="Times New Roman"/>
          <w:color w:val="000000"/>
          <w:spacing w:val="0"/>
          <w:sz w:val="32"/>
          <w:szCs w:val="32"/>
          <w:lang w:val="en-US" w:eastAsia="zh-CN"/>
        </w:rPr>
        <w:t>11</w:t>
      </w:r>
      <w:r>
        <w:rPr>
          <w:rFonts w:hint="eastAsia" w:ascii="方正仿宋_GBK" w:hAnsi="方正仿宋_GBK" w:eastAsia="方正仿宋_GBK" w:cs="方正仿宋_GBK"/>
          <w:color w:val="000000"/>
          <w:spacing w:val="0"/>
          <w:sz w:val="32"/>
          <w:szCs w:val="32"/>
        </w:rPr>
        <w:t>人。享受遗属补助</w:t>
      </w:r>
      <w:r>
        <w:rPr>
          <w:rFonts w:hint="default" w:ascii="Times New Roman" w:hAnsi="Times New Roman" w:eastAsia="仿宋" w:cs="Times New Roman"/>
          <w:color w:val="000000"/>
          <w:spacing w:val="0"/>
          <w:sz w:val="32"/>
          <w:szCs w:val="32"/>
        </w:rPr>
        <w:t>1</w:t>
      </w:r>
      <w:r>
        <w:rPr>
          <w:rFonts w:hint="eastAsia" w:ascii="方正仿宋_GBK" w:hAnsi="方正仿宋_GBK" w:eastAsia="方正仿宋_GBK" w:cs="方正仿宋_GBK"/>
          <w:color w:val="000000"/>
          <w:spacing w:val="0"/>
          <w:sz w:val="32"/>
          <w:szCs w:val="32"/>
        </w:rPr>
        <w:t>人。</w:t>
      </w:r>
      <w:r>
        <w:rPr>
          <w:rFonts w:hint="eastAsia" w:ascii="方正仿宋_GBK" w:hAnsi="方正仿宋_GBK" w:eastAsia="方正仿宋_GBK" w:cs="方正仿宋_GBK"/>
          <w:color w:val="000000"/>
          <w:sz w:val="32"/>
          <w:szCs w:val="32"/>
          <w:lang w:val="en-US" w:eastAsia="zh-CN"/>
        </w:rPr>
        <w:t>较上年度增加</w:t>
      </w:r>
      <w:r>
        <w:rPr>
          <w:rFonts w:hint="default" w:ascii="Times New Roman" w:hAnsi="Times New Roman" w:eastAsia="方正仿宋_GBK" w:cs="Times New Roman"/>
          <w:color w:val="000000"/>
          <w:sz w:val="32"/>
          <w:szCs w:val="32"/>
          <w:lang w:val="en-US" w:eastAsia="zh-CN"/>
        </w:rPr>
        <w:t>2</w:t>
      </w:r>
      <w:r>
        <w:rPr>
          <w:rFonts w:hint="eastAsia" w:ascii="方正仿宋_GBK" w:hAnsi="方正仿宋_GBK" w:eastAsia="方正仿宋_GBK" w:cs="方正仿宋_GBK"/>
          <w:color w:val="000000"/>
          <w:sz w:val="32"/>
          <w:szCs w:val="32"/>
          <w:lang w:val="en-US" w:eastAsia="zh-CN"/>
        </w:rPr>
        <w:t>人，主要</w:t>
      </w:r>
      <w:r>
        <w:rPr>
          <w:rFonts w:hint="eastAsia" w:ascii="Times New Roman" w:hAnsi="Times New Roman" w:eastAsia="方正仿宋_GBK" w:cs="Times New Roman"/>
          <w:color w:val="000000"/>
          <w:sz w:val="32"/>
          <w:szCs w:val="32"/>
          <w:lang w:val="en-US" w:eastAsia="zh-CN"/>
        </w:rPr>
        <w:t>是2024年公务员新调入1人，退休2人，事业新调入4人，退休1人</w:t>
      </w:r>
      <w:r>
        <w:rPr>
          <w:rFonts w:hint="eastAsia" w:ascii="方正仿宋_GBK" w:hAnsi="方正仿宋_GBK" w:eastAsia="方正仿宋_GBK" w:cs="方正仿宋_GBK"/>
          <w:color w:val="000000"/>
          <w:sz w:val="32"/>
          <w:szCs w:val="32"/>
          <w:lang w:val="en-US" w:eastAsia="zh-CN"/>
        </w:rPr>
        <w:t>。</w:t>
      </w:r>
    </w:p>
    <w:p>
      <w:pPr>
        <w:keepNext w:val="0"/>
        <w:keepLines w:val="0"/>
        <w:pageBreakBefore w:val="0"/>
        <w:widowControl/>
        <w:kinsoku/>
        <w:wordWrap/>
        <w:overflowPunct/>
        <w:topLinePunct w:val="0"/>
        <w:bidi w:val="0"/>
        <w:adjustRightInd/>
        <w:snapToGrid/>
        <w:spacing w:line="240" w:lineRule="auto"/>
        <w:ind w:left="0" w:leftChars="0" w:firstLine="640" w:firstLineChars="200"/>
        <w:jc w:val="both"/>
        <w:textAlignment w:val="auto"/>
        <w:rPr>
          <w:rFonts w:hint="eastAsia" w:ascii="方正黑体_GBK" w:hAnsi="方正黑体_GBK" w:eastAsia="方正黑体_GBK" w:cs="方正黑体_GBK"/>
          <w:color w:val="000000"/>
          <w:spacing w:val="0"/>
          <w:kern w:val="0"/>
          <w:sz w:val="32"/>
          <w:szCs w:val="32"/>
        </w:rPr>
      </w:pPr>
      <w:r>
        <w:rPr>
          <w:rFonts w:hint="eastAsia" w:ascii="方正黑体_GBK" w:hAnsi="方正黑体_GBK" w:eastAsia="方正黑体_GBK" w:cs="方正黑体_GBK"/>
          <w:color w:val="000000"/>
          <w:spacing w:val="0"/>
          <w:kern w:val="0"/>
          <w:sz w:val="32"/>
          <w:szCs w:val="32"/>
        </w:rPr>
        <w:t>二、</w:t>
      </w:r>
      <w:r>
        <w:rPr>
          <w:rFonts w:hint="eastAsia" w:ascii="方正黑体_GBK" w:hAnsi="方正黑体_GBK" w:eastAsia="方正黑体_GBK" w:cs="方正黑体_GBK"/>
          <w:color w:val="000000"/>
          <w:spacing w:val="0"/>
          <w:kern w:val="0"/>
          <w:sz w:val="32"/>
          <w:szCs w:val="32"/>
          <w:shd w:val="clear" w:color="auto" w:fill="FFFFFF"/>
        </w:rPr>
        <w:t>部门资金收支情况</w:t>
      </w:r>
    </w:p>
    <w:p>
      <w:pPr>
        <w:keepNext w:val="0"/>
        <w:keepLines w:val="0"/>
        <w:pageBreakBefore w:val="0"/>
        <w:widowControl/>
        <w:kinsoku/>
        <w:wordWrap/>
        <w:overflowPunct/>
        <w:topLinePunct w:val="0"/>
        <w:bidi w:val="0"/>
        <w:adjustRightInd/>
        <w:snapToGrid/>
        <w:spacing w:line="240" w:lineRule="auto"/>
        <w:ind w:left="0" w:leftChars="0" w:firstLine="642" w:firstLineChars="200"/>
        <w:jc w:val="both"/>
        <w:textAlignment w:val="auto"/>
        <w:rPr>
          <w:rFonts w:hint="eastAsia" w:ascii="方正楷体_GBK" w:hAnsi="方正楷体_GBK" w:eastAsia="方正楷体_GBK" w:cs="方正楷体_GBK"/>
          <w:b/>
          <w:bCs/>
          <w:color w:val="000000"/>
          <w:spacing w:val="0"/>
          <w:kern w:val="0"/>
          <w:sz w:val="32"/>
          <w:szCs w:val="32"/>
          <w:shd w:val="clear" w:color="auto" w:fill="FFFFFF"/>
          <w:lang w:val="zh-CN"/>
        </w:rPr>
      </w:pPr>
      <w:r>
        <w:rPr>
          <w:rFonts w:hint="eastAsia" w:ascii="方正楷体_GBK" w:hAnsi="方正楷体_GBK" w:eastAsia="方正楷体_GBK" w:cs="方正楷体_GBK"/>
          <w:b/>
          <w:bCs/>
          <w:color w:val="000000"/>
          <w:spacing w:val="0"/>
          <w:kern w:val="0"/>
          <w:sz w:val="32"/>
          <w:szCs w:val="32"/>
          <w:shd w:val="clear" w:color="auto" w:fill="FFFFFF"/>
          <w:lang w:val="zh-CN"/>
        </w:rPr>
        <w:t>（一）收入情况</w:t>
      </w:r>
    </w:p>
    <w:p>
      <w:pPr>
        <w:keepNext w:val="0"/>
        <w:keepLines w:val="0"/>
        <w:pageBreakBefore w:val="0"/>
        <w:widowControl/>
        <w:shd w:val="clear" w:color="auto" w:fill="FFFFFF"/>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2024年年初预算安排当年财政拨款收入579.17万元，支出579.17万元，比2023年度减少32.08万元，降低5.25%，主要是2023年底做2024年预算时，部门在职人员较上一年度较少，导致人员和公用经费预算减少。</w:t>
      </w:r>
    </w:p>
    <w:p>
      <w:pPr>
        <w:keepNext w:val="0"/>
        <w:keepLines w:val="0"/>
        <w:pageBreakBefore w:val="0"/>
        <w:widowControl/>
        <w:shd w:val="clear" w:color="auto" w:fill="FFFFFF"/>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2024年全年预算收入768.2万元，比2023年度减少18.35万元，降低2.33%，减少的主要原因是部门在职人员较上一年度减少，导致人员和公用经费预算减少。</w:t>
      </w:r>
    </w:p>
    <w:p>
      <w:pPr>
        <w:keepNext w:val="0"/>
        <w:keepLines w:val="0"/>
        <w:pageBreakBefore w:val="0"/>
        <w:widowControl/>
        <w:shd w:val="clear" w:color="auto" w:fill="FFFFFF"/>
        <w:kinsoku/>
        <w:wordWrap/>
        <w:overflowPunct/>
        <w:topLinePunct w:val="0"/>
        <w:bidi w:val="0"/>
        <w:adjustRightInd/>
        <w:snapToGrid/>
        <w:spacing w:line="240" w:lineRule="auto"/>
        <w:ind w:left="0" w:leftChars="0" w:firstLine="640" w:firstLineChars="200"/>
        <w:jc w:val="both"/>
        <w:textAlignment w:val="auto"/>
        <w:rPr>
          <w:rFonts w:hint="eastAsia" w:ascii="仿宋" w:hAnsi="仿宋" w:eastAsia="仿宋"/>
          <w:color w:val="000000"/>
          <w:spacing w:val="0"/>
          <w:sz w:val="32"/>
          <w:szCs w:val="32"/>
        </w:rPr>
      </w:pPr>
      <w:r>
        <w:rPr>
          <w:rFonts w:hint="eastAsia" w:ascii="Times New Roman" w:hAnsi="Times New Roman" w:eastAsia="方正仿宋_GBK" w:cs="Times New Roman"/>
          <w:color w:val="000000"/>
          <w:sz w:val="32"/>
          <w:szCs w:val="32"/>
          <w:lang w:val="en-US" w:eastAsia="zh-CN"/>
        </w:rPr>
        <w:t>各项收入占总收入的比重：2024年总收入768.2万元，其中本年财政拨款收入768.2万元，其他收入0万元，上年结转0万元。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2" w:firstLineChars="200"/>
        <w:jc w:val="both"/>
        <w:textAlignment w:val="auto"/>
        <w:rPr>
          <w:rFonts w:hint="eastAsia" w:ascii="楷体_GB2312" w:hAnsi="楷体_GB2312" w:eastAsia="楷体_GB2312" w:cs="楷体_GB2312"/>
          <w:b/>
          <w:bCs/>
          <w:color w:val="000000"/>
          <w:spacing w:val="0"/>
          <w:kern w:val="0"/>
          <w:sz w:val="32"/>
          <w:szCs w:val="32"/>
          <w:shd w:val="clear" w:color="auto" w:fill="FFFFFF"/>
          <w:lang w:val="zh-CN"/>
        </w:rPr>
      </w:pPr>
      <w:r>
        <w:rPr>
          <w:rFonts w:hint="eastAsia" w:ascii="楷体_GB2312" w:hAnsi="楷体_GB2312" w:eastAsia="楷体_GB2312" w:cs="楷体_GB2312"/>
          <w:b/>
          <w:bCs/>
          <w:color w:val="000000"/>
          <w:spacing w:val="0"/>
          <w:kern w:val="0"/>
          <w:sz w:val="32"/>
          <w:szCs w:val="32"/>
          <w:shd w:val="clear" w:color="auto" w:fill="FFFFFF"/>
          <w:lang w:val="zh-CN"/>
        </w:rPr>
        <w:t>（二）支出情况</w:t>
      </w:r>
    </w:p>
    <w:p>
      <w:pPr>
        <w:keepNext w:val="0"/>
        <w:keepLines w:val="0"/>
        <w:pageBreakBefore w:val="0"/>
        <w:widowControl/>
        <w:shd w:val="clear" w:color="auto" w:fill="FFFFFF"/>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000000"/>
          <w:sz w:val="32"/>
          <w:szCs w:val="32"/>
          <w:lang w:val="en-US" w:eastAsia="zh-CN"/>
        </w:rPr>
      </w:pPr>
      <w:r>
        <w:rPr>
          <w:rFonts w:hint="eastAsia" w:ascii="方正仿宋_GBK" w:hAnsi="方正仿宋_GBK" w:eastAsia="方正仿宋_GBK" w:cs="方正仿宋_GBK"/>
          <w:color w:val="000000"/>
          <w:spacing w:val="0"/>
          <w:sz w:val="32"/>
          <w:szCs w:val="32"/>
          <w:lang w:eastAsia="zh-CN"/>
        </w:rPr>
        <w:t>与年初</w:t>
      </w:r>
      <w:r>
        <w:rPr>
          <w:rFonts w:hint="eastAsia" w:ascii="Times New Roman" w:hAnsi="Times New Roman" w:eastAsia="方正仿宋_GBK" w:cs="Times New Roman"/>
          <w:color w:val="000000"/>
          <w:sz w:val="32"/>
          <w:szCs w:val="32"/>
          <w:lang w:val="en-US" w:eastAsia="zh-CN"/>
        </w:rPr>
        <w:t>预算的579.17万元支出对比，2024年全年执行预算支出768.2万元，差异率32.64%。差异原因一是基本支出调整增加指标29.03万元，因为新考调了事业人员，年中追加人员及公用经费；二是项目经费调整增加指标160万元，为完成本年度项目任务，年中调减1个项目指标到县区（宗教活动场所维修改造补助费15万元），调整减少年初预算项目指标0.39万元，调整追加了10个预算项目，共计175.39万元。</w:t>
      </w:r>
    </w:p>
    <w:p>
      <w:pPr>
        <w:keepNext w:val="0"/>
        <w:keepLines w:val="0"/>
        <w:pageBreakBefore w:val="0"/>
        <w:widowControl/>
        <w:shd w:val="clear" w:color="auto" w:fill="FFFFFF"/>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1.各项支出占总支出的比重：按资金来源分析，本年支出768.2万元，其中财政拨款支出768.2万元，占本年支出100%。</w:t>
      </w:r>
    </w:p>
    <w:p>
      <w:pPr>
        <w:keepNext w:val="0"/>
        <w:keepLines w:val="0"/>
        <w:pageBreakBefore w:val="0"/>
        <w:widowControl/>
        <w:shd w:val="clear" w:color="auto" w:fill="FFFFFF"/>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2.按支出经济分类科目分析：本年支出768.2万元,其中工资福利支出395.33万元，占本年支出51.46%；商品和服务支出223.73万元，占本年支出29.12%；对个人和家庭的补助支出148.61万元，占本年支出19.35%。，资本性支出0.53万元，占本年支出0.07%。</w:t>
      </w:r>
    </w:p>
    <w:p>
      <w:pPr>
        <w:keepNext w:val="0"/>
        <w:keepLines w:val="0"/>
        <w:pageBreakBefore w:val="0"/>
        <w:widowControl/>
        <w:shd w:val="clear" w:color="auto" w:fill="FFFFFF"/>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仿宋" w:cs="Times New Roman"/>
          <w:sz w:val="32"/>
          <w:szCs w:val="32"/>
          <w:lang w:val="en-US" w:eastAsia="zh-CN"/>
        </w:rPr>
      </w:pPr>
      <w:r>
        <w:rPr>
          <w:rFonts w:hint="eastAsia" w:ascii="Times New Roman" w:hAnsi="Times New Roman" w:eastAsia="方正仿宋_GBK" w:cs="Times New Roman"/>
          <w:color w:val="000000"/>
          <w:sz w:val="32"/>
          <w:szCs w:val="32"/>
          <w:lang w:val="en-US" w:eastAsia="zh-CN"/>
        </w:rPr>
        <w:t>3.支出与上年对比：2024年支出768.2万元，2023年支出786.55万元，</w:t>
      </w:r>
      <w:r>
        <w:rPr>
          <w:rFonts w:hint="eastAsia" w:ascii="Times New Roman" w:hAnsi="Times New Roman" w:eastAsia="仿宋" w:cs="Times New Roman"/>
          <w:sz w:val="32"/>
          <w:szCs w:val="32"/>
          <w:lang w:val="en-US" w:eastAsia="zh-CN"/>
        </w:rPr>
        <w:t>减少18.35万元，降低2.33%，主要原因是部门在职人员较上一年度减少，导致人员和公用经费预算减少，故较上年支出减少。</w:t>
      </w:r>
    </w:p>
    <w:p>
      <w:pPr>
        <w:pStyle w:val="22"/>
        <w:keepNext w:val="0"/>
        <w:keepLines w:val="0"/>
        <w:pageBreakBefore w:val="0"/>
        <w:kinsoku/>
        <w:wordWrap/>
        <w:overflowPunct/>
        <w:topLinePunct w:val="0"/>
        <w:bidi w:val="0"/>
        <w:adjustRightInd/>
        <w:snapToGrid/>
        <w:ind w:firstLine="642" w:firstLineChars="200"/>
        <w:textAlignment w:val="auto"/>
        <w:rPr>
          <w:rFonts w:hint="eastAsia" w:ascii="方正楷体_GBK" w:hAnsi="方正楷体_GBK" w:eastAsia="方正楷体_GBK" w:cs="方正楷体_GBK"/>
          <w:b/>
          <w:bCs/>
          <w:color w:val="000000"/>
          <w:spacing w:val="0"/>
          <w:kern w:val="0"/>
          <w:sz w:val="32"/>
          <w:szCs w:val="32"/>
          <w:shd w:val="clear" w:color="auto" w:fill="FFFFFF"/>
          <w:lang w:val="zh-CN"/>
        </w:rPr>
      </w:pPr>
      <w:r>
        <w:rPr>
          <w:rFonts w:hint="eastAsia" w:ascii="方正楷体_GBK" w:hAnsi="方正楷体_GBK" w:eastAsia="方正楷体_GBK" w:cs="方正楷体_GBK"/>
          <w:b/>
          <w:bCs/>
          <w:color w:val="000000"/>
          <w:spacing w:val="0"/>
          <w:kern w:val="0"/>
          <w:sz w:val="32"/>
          <w:szCs w:val="32"/>
          <w:shd w:val="clear" w:color="auto" w:fill="FFFFFF"/>
          <w:lang w:val="zh-CN"/>
        </w:rPr>
        <w:t>（二）</w:t>
      </w:r>
      <w:r>
        <w:rPr>
          <w:rFonts w:hint="eastAsia" w:ascii="方正楷体_GBK" w:hAnsi="方正楷体_GBK" w:eastAsia="方正楷体_GBK" w:cs="方正楷体_GBK"/>
          <w:b/>
          <w:bCs/>
          <w:color w:val="000000"/>
          <w:spacing w:val="0"/>
          <w:kern w:val="0"/>
          <w:sz w:val="32"/>
          <w:szCs w:val="32"/>
          <w:shd w:val="clear" w:color="auto" w:fill="FFFFFF"/>
          <w:lang w:val="zh-CN" w:eastAsia="zh-CN"/>
        </w:rPr>
        <w:t>结余分配和结转结余情况</w:t>
      </w:r>
    </w:p>
    <w:p>
      <w:pPr>
        <w:keepNext w:val="0"/>
        <w:keepLines w:val="0"/>
        <w:pageBreakBefore w:val="0"/>
        <w:widowControl/>
        <w:shd w:val="clear" w:color="auto" w:fill="FFFFFF"/>
        <w:kinsoku/>
        <w:wordWrap/>
        <w:overflowPunct/>
        <w:topLinePunct w:val="0"/>
        <w:bidi w:val="0"/>
        <w:adjustRightInd/>
        <w:snapToGrid/>
        <w:spacing w:line="240" w:lineRule="auto"/>
        <w:ind w:left="0" w:leftChars="0" w:firstLine="640" w:firstLineChars="200"/>
        <w:jc w:val="both"/>
        <w:textAlignment w:val="auto"/>
        <w:rPr>
          <w:rFonts w:hint="eastAsia"/>
          <w:lang w:val="en-US" w:eastAsia="zh-CN"/>
        </w:rPr>
      </w:pPr>
      <w:r>
        <w:rPr>
          <w:rFonts w:hint="eastAsia" w:ascii="Times New Roman" w:hAnsi="Times New Roman" w:eastAsia="方正仿宋_GBK" w:cs="Times New Roman"/>
          <w:color w:val="000000"/>
          <w:sz w:val="32"/>
          <w:szCs w:val="32"/>
          <w:lang w:val="en-US" w:eastAsia="zh-CN"/>
        </w:rPr>
        <w:t>2024年年底无结转结余。</w:t>
      </w:r>
    </w:p>
    <w:p>
      <w:pPr>
        <w:keepNext w:val="0"/>
        <w:keepLines w:val="0"/>
        <w:pageBreakBefore w:val="0"/>
        <w:widowControl/>
        <w:numPr>
          <w:ilvl w:val="0"/>
          <w:numId w:val="2"/>
        </w:numPr>
        <w:kinsoku/>
        <w:wordWrap/>
        <w:overflowPunct/>
        <w:topLinePunct w:val="0"/>
        <w:bidi w:val="0"/>
        <w:adjustRightInd/>
        <w:snapToGrid/>
        <w:spacing w:line="240" w:lineRule="auto"/>
        <w:ind w:left="0" w:leftChars="0" w:firstLine="640" w:firstLineChars="200"/>
        <w:jc w:val="both"/>
        <w:textAlignment w:val="auto"/>
        <w:rPr>
          <w:rFonts w:hint="eastAsia" w:ascii="方正黑体_GBK" w:hAnsi="方正黑体_GBK" w:eastAsia="方正黑体_GBK" w:cs="方正黑体_GBK"/>
          <w:color w:val="000000"/>
          <w:spacing w:val="0"/>
          <w:kern w:val="0"/>
          <w:sz w:val="32"/>
          <w:szCs w:val="32"/>
          <w:shd w:val="clear" w:color="auto" w:fill="FFFFFF"/>
        </w:rPr>
      </w:pPr>
      <w:r>
        <w:rPr>
          <w:rFonts w:hint="eastAsia" w:ascii="方正黑体_GBK" w:hAnsi="方正黑体_GBK" w:eastAsia="方正黑体_GBK" w:cs="方正黑体_GBK"/>
          <w:color w:val="000000"/>
          <w:spacing w:val="0"/>
          <w:kern w:val="0"/>
          <w:sz w:val="32"/>
          <w:szCs w:val="32"/>
          <w:shd w:val="clear" w:color="auto" w:fill="FFFFFF"/>
        </w:rPr>
        <w:t>部门预算绩效</w:t>
      </w:r>
      <w:r>
        <w:rPr>
          <w:rFonts w:hint="eastAsia" w:ascii="方正黑体_GBK" w:hAnsi="方正黑体_GBK" w:eastAsia="方正黑体_GBK" w:cs="方正黑体_GBK"/>
          <w:color w:val="000000"/>
          <w:spacing w:val="0"/>
          <w:kern w:val="0"/>
          <w:sz w:val="32"/>
          <w:szCs w:val="32"/>
          <w:shd w:val="clear" w:color="auto" w:fill="FFFFFF"/>
          <w:lang w:eastAsia="zh-CN"/>
        </w:rPr>
        <w:t>分析</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方正仿宋_GBK" w:hAnsi="方正仿宋_GBK" w:eastAsia="方正仿宋_GBK" w:cs="方正仿宋_GBK"/>
          <w:color w:val="000000"/>
          <w:spacing w:val="0"/>
          <w:kern w:val="0"/>
          <w:sz w:val="32"/>
          <w:szCs w:val="32"/>
        </w:rPr>
      </w:pPr>
      <w:r>
        <w:rPr>
          <w:rFonts w:hint="eastAsia" w:ascii="方正仿宋_GBK" w:hAnsi="方正仿宋_GBK" w:eastAsia="方正仿宋_GBK" w:cs="方正仿宋_GBK"/>
          <w:color w:val="000000"/>
          <w:spacing w:val="0"/>
          <w:kern w:val="0"/>
          <w:sz w:val="32"/>
          <w:szCs w:val="32"/>
        </w:rPr>
        <w:t>按照预算绩效管理要求，我</w:t>
      </w:r>
      <w:r>
        <w:rPr>
          <w:rFonts w:hint="eastAsia" w:ascii="Times New Roman" w:hAnsi="Times New Roman" w:eastAsia="仿宋" w:cs="Times New Roman"/>
          <w:sz w:val="32"/>
          <w:szCs w:val="32"/>
          <w:lang w:val="en-US" w:eastAsia="zh-CN"/>
        </w:rPr>
        <w:t>委对2024年预</w:t>
      </w:r>
      <w:r>
        <w:rPr>
          <w:rFonts w:hint="eastAsia" w:ascii="方正仿宋_GBK" w:hAnsi="方正仿宋_GBK" w:eastAsia="方正仿宋_GBK" w:cs="方正仿宋_GBK"/>
          <w:color w:val="000000"/>
          <w:spacing w:val="0"/>
          <w:kern w:val="0"/>
          <w:sz w:val="32"/>
          <w:szCs w:val="32"/>
        </w:rPr>
        <w:t>算项目支出开展了绩效目标管理。基本完成了总体目标，圆满完成了全年各项目标任务。</w:t>
      </w:r>
    </w:p>
    <w:p>
      <w:pPr>
        <w:keepNext w:val="0"/>
        <w:keepLines w:val="0"/>
        <w:pageBreakBefore w:val="0"/>
        <w:widowControl/>
        <w:numPr>
          <w:ilvl w:val="0"/>
          <w:numId w:val="3"/>
        </w:numPr>
        <w:kinsoku/>
        <w:wordWrap/>
        <w:overflowPunct/>
        <w:topLinePunct w:val="0"/>
        <w:bidi w:val="0"/>
        <w:adjustRightInd/>
        <w:snapToGrid/>
        <w:spacing w:line="240" w:lineRule="auto"/>
        <w:ind w:left="0" w:leftChars="0" w:firstLine="642" w:firstLineChars="200"/>
        <w:jc w:val="both"/>
        <w:textAlignment w:val="auto"/>
        <w:rPr>
          <w:rFonts w:hint="eastAsia" w:ascii="方正楷体_GBK" w:hAnsi="方正楷体_GBK" w:eastAsia="方正楷体_GBK" w:cs="方正楷体_GBK"/>
          <w:b/>
          <w:bCs/>
          <w:color w:val="000000"/>
          <w:spacing w:val="0"/>
          <w:kern w:val="0"/>
          <w:sz w:val="32"/>
          <w:szCs w:val="32"/>
          <w:shd w:val="clear" w:color="auto" w:fill="FFFFFF"/>
          <w:lang w:val="zh-CN"/>
        </w:rPr>
      </w:pPr>
      <w:r>
        <w:rPr>
          <w:rFonts w:hint="eastAsia" w:ascii="方正楷体_GBK" w:hAnsi="方正楷体_GBK" w:eastAsia="方正楷体_GBK" w:cs="方正楷体_GBK"/>
          <w:b/>
          <w:bCs/>
          <w:color w:val="000000"/>
          <w:spacing w:val="0"/>
          <w:kern w:val="0"/>
          <w:sz w:val="32"/>
          <w:szCs w:val="32"/>
          <w:shd w:val="clear" w:color="auto" w:fill="FFFFFF"/>
          <w:lang w:val="zh-CN"/>
        </w:rPr>
        <w:t>部门预算总体绩效分析</w:t>
      </w:r>
    </w:p>
    <w:p>
      <w:pPr>
        <w:pStyle w:val="22"/>
        <w:keepNext w:val="0"/>
        <w:keepLines w:val="0"/>
        <w:pageBreakBefore w:val="0"/>
        <w:numPr>
          <w:ilvl w:val="0"/>
          <w:numId w:val="0"/>
        </w:numPr>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1.履职效能</w:t>
      </w:r>
    </w:p>
    <w:p>
      <w:pPr>
        <w:pStyle w:val="22"/>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方正仿宋_GBK" w:hAnsi="方正仿宋_GBK" w:eastAsia="方正仿宋_GBK" w:cs="方正仿宋_GBK"/>
          <w:color w:val="000000"/>
          <w:spacing w:val="0"/>
          <w:kern w:val="0"/>
          <w:sz w:val="32"/>
          <w:szCs w:val="32"/>
        </w:rPr>
      </w:pPr>
      <w:r>
        <w:rPr>
          <w:rFonts w:hint="eastAsia" w:ascii="Times New Roman" w:hAnsi="Times New Roman" w:eastAsia="仿宋" w:cs="Times New Roman"/>
          <w:color w:val="auto"/>
          <w:kern w:val="2"/>
          <w:sz w:val="32"/>
          <w:szCs w:val="32"/>
          <w:lang w:val="en-US" w:eastAsia="zh-CN" w:bidi="ar-SA"/>
        </w:rPr>
        <w:t>年度设定总体目标6个：</w:t>
      </w:r>
      <w:r>
        <w:rPr>
          <w:rFonts w:hint="eastAsia" w:ascii="方正仿宋_GBK" w:hAnsi="方正仿宋_GBK" w:eastAsia="方正仿宋_GBK" w:cs="方正仿宋_GBK"/>
          <w:color w:val="000000"/>
          <w:spacing w:val="0"/>
          <w:kern w:val="0"/>
          <w:sz w:val="32"/>
          <w:szCs w:val="32"/>
        </w:rPr>
        <w:t>全力攻坚全国民族团结进步示范市创建，推动民族工作再上新台阶；聚焦抓项目促投资，在以中国式现代化引领民族地区高质量发展上展现新作为；在区域合作上持续发力，推进各民族交往交流交融取得新实效；着眼文化认同，全面推进中华民族共有精神家园建设；坚持慎重稳进，推进我国宗教中国化“攀枝花实践”；牢牢守住全市民族宗教领域不发生区域性、系统性风险的底线。</w:t>
      </w:r>
    </w:p>
    <w:p>
      <w:pPr>
        <w:pStyle w:val="22"/>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方正仿宋_GBK" w:hAnsi="方正仿宋_GBK" w:eastAsia="方正仿宋_GBK" w:cs="方正仿宋_GBK"/>
          <w:color w:val="000000"/>
          <w:spacing w:val="0"/>
          <w:kern w:val="0"/>
          <w:sz w:val="32"/>
          <w:szCs w:val="32"/>
        </w:rPr>
      </w:pPr>
      <w:r>
        <w:rPr>
          <w:rFonts w:hint="eastAsia" w:ascii="Times New Roman" w:hAnsi="Times New Roman" w:eastAsia="仿宋" w:cs="Times New Roman"/>
          <w:color w:val="auto"/>
          <w:kern w:val="2"/>
          <w:sz w:val="32"/>
          <w:szCs w:val="32"/>
          <w:lang w:val="en-US" w:eastAsia="zh-CN" w:bidi="ar-SA"/>
        </w:rPr>
        <w:t>2024年全国民族团结进步示范市创建工作被列入全市重点工作，6个民族团结进步示范工程重点项目被列入高质量发展建设共同富裕区“四张清单”；市民族宗教委多项工作被列入高质量发展建设共同富裕试验区、安宁河流域高质量发展、“百村示范、全域整治”行动等全市中心工作。我市仁和区委荣膺全国民族团结进步模范集体，成功承办了2024年民体杯全国蹴球比赛、2024年度全省民族宗教系统宣传</w:t>
      </w:r>
      <w:r>
        <w:rPr>
          <w:rFonts w:hint="eastAsia" w:ascii="方正仿宋_GBK" w:hAnsi="方正仿宋_GBK" w:eastAsia="方正仿宋_GBK" w:cs="方正仿宋_GBK"/>
          <w:color w:val="000000"/>
          <w:spacing w:val="0"/>
          <w:kern w:val="0"/>
          <w:sz w:val="32"/>
          <w:szCs w:val="32"/>
          <w:lang w:val="en-US" w:eastAsia="zh-CN"/>
        </w:rPr>
        <w:t>工作暨民族杂志社骨干通讯员培训班；《打造“共富村寨”带动民族地区发展》被国家发改委《共富动态》实践案例采编，获全国推广；攀枝花市民族宗教工作在本系统全省性会议（活动、培训）上作现场工作交</w:t>
      </w:r>
      <w:r>
        <w:rPr>
          <w:rFonts w:hint="eastAsia" w:ascii="Times New Roman" w:hAnsi="Times New Roman" w:eastAsia="仿宋" w:cs="Times New Roman"/>
          <w:color w:val="auto"/>
          <w:kern w:val="2"/>
          <w:sz w:val="32"/>
          <w:szCs w:val="32"/>
          <w:lang w:val="en-US" w:eastAsia="zh-CN" w:bidi="ar-SA"/>
        </w:rPr>
        <w:t>流5次。</w:t>
      </w:r>
      <w:r>
        <w:rPr>
          <w:rFonts w:hint="eastAsia" w:ascii="方正仿宋_GBK" w:hAnsi="方正仿宋_GBK" w:eastAsia="方正仿宋_GBK" w:cs="方正仿宋_GBK"/>
          <w:color w:val="000000"/>
          <w:spacing w:val="0"/>
          <w:kern w:val="0"/>
          <w:sz w:val="32"/>
          <w:szCs w:val="32"/>
        </w:rPr>
        <w:t>顺利完成了全年总体目标任务。</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default" w:eastAsia="仿宋_GB2312"/>
          <w:color w:val="000000"/>
          <w:spacing w:val="0"/>
          <w:sz w:val="32"/>
          <w:szCs w:val="32"/>
          <w:lang w:val="en-US" w:eastAsia="zh-CN"/>
        </w:rPr>
      </w:pPr>
      <w:r>
        <w:rPr>
          <w:rFonts w:hint="eastAsia"/>
          <w:color w:val="000000"/>
          <w:spacing w:val="0"/>
          <w:sz w:val="32"/>
          <w:szCs w:val="32"/>
          <w:lang w:val="en-US" w:eastAsia="zh-CN"/>
        </w:rPr>
        <w:t>2.</w:t>
      </w:r>
      <w:r>
        <w:rPr>
          <w:rFonts w:hint="eastAsia" w:ascii="方正仿宋_GBK" w:hAnsi="方正仿宋_GBK" w:eastAsia="方正仿宋_GBK" w:cs="方正仿宋_GBK"/>
          <w:color w:val="000000"/>
          <w:spacing w:val="0"/>
          <w:sz w:val="32"/>
          <w:szCs w:val="32"/>
          <w:lang w:val="en-US" w:eastAsia="zh-CN"/>
        </w:rPr>
        <w:t>预算管理</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w:t>
      </w:r>
      <w:r>
        <w:rPr>
          <w:rFonts w:hint="eastAsia" w:ascii="Times New Roman" w:hAnsi="Times New Roman" w:eastAsia="仿宋" w:cs="Times New Roman"/>
          <w:color w:val="auto"/>
          <w:kern w:val="2"/>
          <w:sz w:val="32"/>
          <w:szCs w:val="32"/>
          <w:lang w:val="en-US" w:eastAsia="zh-CN" w:bidi="ar-SA"/>
        </w:rPr>
        <w:t>1</w:t>
      </w:r>
      <w:r>
        <w:rPr>
          <w:rFonts w:hint="eastAsia" w:ascii="方正仿宋_GBK" w:hAnsi="方正仿宋_GBK" w:eastAsia="方正仿宋_GBK" w:cs="方正仿宋_GBK"/>
          <w:color w:val="auto"/>
          <w:kern w:val="2"/>
          <w:sz w:val="32"/>
          <w:szCs w:val="32"/>
          <w:lang w:val="en-US" w:eastAsia="zh-CN" w:bidi="ar-SA"/>
        </w:rPr>
        <w:t>）预算编制质量。人员经费年初预算数</w:t>
      </w:r>
      <w:r>
        <w:rPr>
          <w:rFonts w:hint="default" w:ascii="Times New Roman" w:hAnsi="Times New Roman" w:eastAsia="方正仿宋_GBK" w:cs="Times New Roman"/>
          <w:color w:val="auto"/>
          <w:kern w:val="2"/>
          <w:sz w:val="32"/>
          <w:szCs w:val="32"/>
          <w:lang w:val="en-US" w:eastAsia="zh-CN" w:bidi="ar-SA"/>
        </w:rPr>
        <w:t>448.9</w:t>
      </w:r>
      <w:r>
        <w:rPr>
          <w:rFonts w:hint="eastAsia" w:ascii="方正仿宋_GBK" w:hAnsi="方正仿宋_GBK" w:eastAsia="方正仿宋_GBK" w:cs="方正仿宋_GBK"/>
          <w:color w:val="auto"/>
          <w:kern w:val="2"/>
          <w:sz w:val="32"/>
          <w:szCs w:val="32"/>
          <w:lang w:val="en-US" w:eastAsia="zh-CN" w:bidi="ar-SA"/>
        </w:rPr>
        <w:t>万元，年度预算执行数</w:t>
      </w:r>
      <w:r>
        <w:rPr>
          <w:rFonts w:hint="eastAsia" w:ascii="Times New Roman" w:hAnsi="Times New Roman" w:eastAsia="方正仿宋_GBK" w:cs="Times New Roman"/>
          <w:color w:val="auto"/>
          <w:kern w:val="2"/>
          <w:sz w:val="32"/>
          <w:szCs w:val="32"/>
          <w:lang w:val="en-US" w:eastAsia="zh-CN" w:bidi="ar-SA"/>
        </w:rPr>
        <w:t>485.85万元，差异率8.23%</w:t>
      </w:r>
      <w:r>
        <w:rPr>
          <w:rFonts w:hint="eastAsia" w:ascii="方正仿宋_GBK" w:hAnsi="方正仿宋_GBK" w:eastAsia="方正仿宋_GBK" w:cs="方正仿宋_GBK"/>
          <w:color w:val="auto"/>
          <w:kern w:val="2"/>
          <w:sz w:val="32"/>
          <w:szCs w:val="32"/>
          <w:lang w:val="en-US" w:eastAsia="zh-CN" w:bidi="ar-SA"/>
        </w:rPr>
        <w:t>；公用经费年初预算数</w:t>
      </w:r>
      <w:r>
        <w:rPr>
          <w:rFonts w:hint="default" w:ascii="Times New Roman" w:hAnsi="Times New Roman" w:eastAsia="方正仿宋_GBK" w:cs="Times New Roman"/>
          <w:color w:val="auto"/>
          <w:kern w:val="2"/>
          <w:sz w:val="32"/>
          <w:szCs w:val="32"/>
          <w:lang w:val="en-US" w:eastAsia="zh-CN" w:bidi="ar-SA"/>
        </w:rPr>
        <w:t>65.27</w:t>
      </w:r>
      <w:r>
        <w:rPr>
          <w:rFonts w:hint="eastAsia" w:ascii="方正仿宋_GBK" w:hAnsi="方正仿宋_GBK" w:eastAsia="方正仿宋_GBK" w:cs="方正仿宋_GBK"/>
          <w:color w:val="auto"/>
          <w:kern w:val="2"/>
          <w:sz w:val="32"/>
          <w:szCs w:val="32"/>
          <w:lang w:val="en-US" w:eastAsia="zh-CN" w:bidi="ar-SA"/>
        </w:rPr>
        <w:t>万元，年度预算执行数</w:t>
      </w:r>
      <w:r>
        <w:rPr>
          <w:rFonts w:hint="eastAsia" w:ascii="Times New Roman" w:hAnsi="Times New Roman" w:eastAsia="方正仿宋_GBK" w:cs="Times New Roman"/>
          <w:color w:val="auto"/>
          <w:kern w:val="2"/>
          <w:sz w:val="32"/>
          <w:szCs w:val="32"/>
          <w:lang w:val="en-US" w:eastAsia="zh-CN" w:bidi="ar-SA"/>
        </w:rPr>
        <w:t>57.34万元，差异率-12.13%；项目经费年初预算数65万元，年度预算执行数225万元，差异率246.15%；政府采购年初预算数为0，年度预算执行数0.7万元，差异率100%；资产配置年初预算数为0，年度预算执行数0.52万元，差异率100%</w:t>
      </w:r>
      <w:r>
        <w:rPr>
          <w:rFonts w:hint="eastAsia" w:ascii="方正仿宋_GBK" w:hAnsi="方正仿宋_GBK" w:eastAsia="方正仿宋_GBK" w:cs="方正仿宋_GBK"/>
          <w:color w:val="auto"/>
          <w:kern w:val="2"/>
          <w:sz w:val="32"/>
          <w:szCs w:val="32"/>
          <w:lang w:val="en-US" w:eastAsia="zh-CN" w:bidi="ar-SA"/>
        </w:rPr>
        <w:t>。全年保障了各项规定的个人补助按时按要求发放，确保了机关及下属事业单位各项工作正常开展运行，顺利完成了全年目标任务。</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auto"/>
          <w:kern w:val="2"/>
          <w:sz w:val="32"/>
          <w:szCs w:val="32"/>
          <w:lang w:val="en-US" w:eastAsia="zh-CN" w:bidi="ar-SA"/>
        </w:rPr>
        <w:t>差异主要原因，一是新考调入了</w:t>
      </w:r>
      <w:r>
        <w:rPr>
          <w:rFonts w:hint="default" w:ascii="Times New Roman" w:hAnsi="Times New Roman" w:eastAsia="方正仿宋_GBK" w:cs="Times New Roman"/>
          <w:color w:val="auto"/>
          <w:kern w:val="2"/>
          <w:sz w:val="32"/>
          <w:szCs w:val="32"/>
          <w:lang w:val="en-US" w:eastAsia="zh-CN" w:bidi="ar-SA"/>
        </w:rPr>
        <w:t>4</w:t>
      </w:r>
      <w:r>
        <w:rPr>
          <w:rFonts w:hint="eastAsia" w:ascii="方正仿宋_GBK" w:hAnsi="方正仿宋_GBK" w:eastAsia="方正仿宋_GBK" w:cs="方正仿宋_GBK"/>
          <w:color w:val="auto"/>
          <w:kern w:val="2"/>
          <w:sz w:val="32"/>
          <w:szCs w:val="32"/>
          <w:lang w:val="en-US" w:eastAsia="zh-CN" w:bidi="ar-SA"/>
        </w:rPr>
        <w:t>名事业人员，年中追加了人员经费；二是人员因退休发生变动，公务交通补贴等相关公用经费剩余；三是根据年度目标任务，追加了项目经费；四是</w:t>
      </w:r>
      <w:r>
        <w:rPr>
          <w:rFonts w:hint="eastAsia" w:ascii="Times New Roman" w:hAnsi="Times New Roman" w:eastAsia="方正仿宋_GBK" w:cs="Times New Roman"/>
          <w:color w:val="auto"/>
          <w:kern w:val="2"/>
          <w:sz w:val="32"/>
          <w:szCs w:val="32"/>
          <w:lang w:val="en-US" w:eastAsia="zh-CN" w:bidi="ar-SA"/>
        </w:rPr>
        <w:t>2024</w:t>
      </w:r>
      <w:r>
        <w:rPr>
          <w:rFonts w:hint="eastAsia" w:ascii="方正仿宋_GBK" w:hAnsi="方正仿宋_GBK" w:eastAsia="方正仿宋_GBK" w:cs="方正仿宋_GBK"/>
          <w:color w:val="auto"/>
          <w:kern w:val="2"/>
          <w:sz w:val="32"/>
          <w:szCs w:val="32"/>
          <w:lang w:val="en-US" w:eastAsia="zh-CN" w:bidi="ar-SA"/>
        </w:rPr>
        <w:t>年根据最新的公务用车维修服务框架采购协议，对公务用车的加油及维修资金进行了政府采购预算调整追加；五是根据人员、科室变动的实际工作需要，进行了办公桌及档案柜等办公家具的购买。六是项目支出决算数大于年初预算数，年中调</w:t>
      </w:r>
      <w:r>
        <w:rPr>
          <w:rFonts w:hint="eastAsia" w:ascii="Times New Roman" w:hAnsi="Times New Roman" w:eastAsia="方正仿宋_GBK" w:cs="Times New Roman"/>
          <w:color w:val="auto"/>
          <w:kern w:val="2"/>
          <w:sz w:val="32"/>
          <w:szCs w:val="32"/>
          <w:lang w:val="en-US" w:eastAsia="zh-CN" w:bidi="ar-SA"/>
        </w:rPr>
        <w:t>减1个项目指标到县区（宗教活动场所维修改造补助费15万元），调整减少年初预算指标0.39万元，调整追加了10个预算项目，共计175.39万元，具体为宗教团体工作经费2012399-其他民族事务支出26.8万元（攀财资行〔2024〕21号）；攀枝花市组团参加四川省第十六届少数民族传统体育运动会经费2012399-其他民族事务支出60.84万元（攀财资行〔2024〕19号）；民族团结进步表彰奖励2012399-其他民族事务支出7.74万元（攀财资行〔2024〕19号）；向上争取资金工作经费2012399-其他民族事务支出10万元（攀财资预〔2024〕16号）；市级挂职干部补助2013299-其他组织事务支出1.53万元（攀财资行〔2024〕47号及攀财资行〔2024〕81号）；市级少数民族发展资金2130199-其他农业农村支出49.75万元（攀财资农〔2024〕54号）；下达2023年民族事业发展专项资金2012399-其他民族事务支出10.1万元（攀财资行〔2023〕60号）；省级民族地区开发资金2012399-其他民族事务支出3.18万元（攀财资预〔2023〕19号）；省级民族地区开发资金2139999-其他农林水支出0.51万元（攀财资预〔2024〕17号）；2024年民族事业发展专项资金2012399-其他民族事务支出4.94万元（攀财资行〔2024〕29号）</w:t>
      </w:r>
      <w:r>
        <w:rPr>
          <w:rFonts w:hint="eastAsia" w:ascii="方正仿宋_GBK" w:hAnsi="方正仿宋_GBK" w:eastAsia="方正仿宋_GBK" w:cs="方正仿宋_GBK"/>
          <w:sz w:val="32"/>
          <w:szCs w:val="32"/>
          <w:lang w:val="en-US" w:eastAsia="zh-CN"/>
        </w:rPr>
        <w:t>。</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color w:val="000000"/>
          <w:spacing w:val="0"/>
          <w:sz w:val="32"/>
          <w:szCs w:val="32"/>
          <w:lang w:val="en-US" w:eastAsia="zh-CN"/>
        </w:rPr>
      </w:pPr>
      <w:r>
        <w:rPr>
          <w:rFonts w:hint="eastAsia" w:ascii="方正仿宋_GBK" w:hAnsi="方正仿宋_GBK" w:eastAsia="方正仿宋_GBK" w:cs="方正仿宋_GBK"/>
          <w:color w:val="000000"/>
          <w:spacing w:val="0"/>
          <w:sz w:val="32"/>
          <w:szCs w:val="32"/>
          <w:lang w:eastAsia="zh-CN"/>
        </w:rPr>
        <w:t>根据比率分值法，该项指标得分=（</w:t>
      </w:r>
      <w:r>
        <w:rPr>
          <w:rFonts w:hint="default" w:ascii="Times New Roman" w:hAnsi="Times New Roman" w:eastAsia="方正仿宋_GBK" w:cs="Times New Roman"/>
          <w:color w:val="000000"/>
          <w:spacing w:val="0"/>
          <w:sz w:val="32"/>
          <w:szCs w:val="32"/>
          <w:lang w:eastAsia="zh-CN"/>
        </w:rPr>
        <w:t>1</w:t>
      </w:r>
      <w:r>
        <w:rPr>
          <w:rFonts w:hint="eastAsia" w:ascii="方正仿宋_GBK" w:hAnsi="方正仿宋_GBK" w:eastAsia="方正仿宋_GBK" w:cs="方正仿宋_GBK"/>
          <w:color w:val="000000"/>
          <w:spacing w:val="0"/>
          <w:sz w:val="32"/>
          <w:szCs w:val="32"/>
          <w:lang w:eastAsia="zh-CN"/>
        </w:rPr>
        <w:t>-财政拨款预算偏离度</w:t>
      </w:r>
      <w:r>
        <w:rPr>
          <w:rFonts w:hint="eastAsia" w:ascii="Times New Roman" w:hAnsi="Times New Roman" w:eastAsia="方正仿宋_GBK" w:cs="Times New Roman"/>
          <w:color w:val="000000"/>
          <w:spacing w:val="0"/>
          <w:sz w:val="32"/>
          <w:szCs w:val="32"/>
          <w:lang w:eastAsia="zh-CN"/>
        </w:rPr>
        <w:t>）×100%×4+（1-资产配置预算偏离度）×100%×2+（1-政府采购预算偏离度）×100%×2。该项指标满分</w:t>
      </w:r>
      <w:r>
        <w:rPr>
          <w:rFonts w:hint="eastAsia" w:ascii="Times New Roman" w:hAnsi="Times New Roman" w:eastAsia="方正仿宋_GBK" w:cs="Times New Roman"/>
          <w:color w:val="000000"/>
          <w:spacing w:val="0"/>
          <w:sz w:val="32"/>
          <w:szCs w:val="32"/>
          <w:lang w:val="en-US" w:eastAsia="zh-CN"/>
        </w:rPr>
        <w:t>8分，</w:t>
      </w:r>
      <w:r>
        <w:rPr>
          <w:rFonts w:hint="eastAsia" w:ascii="Times New Roman" w:hAnsi="Times New Roman" w:eastAsia="方正仿宋_GBK" w:cs="Times New Roman"/>
          <w:color w:val="000000"/>
          <w:spacing w:val="0"/>
          <w:sz w:val="32"/>
          <w:szCs w:val="32"/>
          <w:lang w:eastAsia="zh-CN"/>
        </w:rPr>
        <w:t>依据单位的财政拨款预算偏离度、资产配置预算偏离度、政府采购预算偏离度，测算出我单位该项指标得分</w:t>
      </w:r>
      <w:r>
        <w:rPr>
          <w:rFonts w:hint="eastAsia" w:ascii="Times New Roman" w:hAnsi="Times New Roman" w:eastAsia="方正仿宋_GBK" w:cs="Times New Roman"/>
          <w:color w:val="000000"/>
          <w:spacing w:val="0"/>
          <w:sz w:val="32"/>
          <w:szCs w:val="32"/>
          <w:lang w:val="en-US" w:eastAsia="zh-CN"/>
        </w:rPr>
        <w:t>2.69分</w:t>
      </w:r>
      <w:r>
        <w:rPr>
          <w:rFonts w:hint="eastAsia" w:ascii="方正仿宋_GBK" w:hAnsi="方正仿宋_GBK" w:eastAsia="方正仿宋_GBK" w:cs="方正仿宋_GBK"/>
          <w:color w:val="000000"/>
          <w:spacing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color w:val="000000"/>
          <w:spacing w:val="0"/>
          <w:sz w:val="32"/>
          <w:szCs w:val="32"/>
          <w:lang w:val="en-US" w:eastAsia="zh-CN"/>
        </w:rPr>
      </w:pPr>
      <w:r>
        <w:rPr>
          <w:rFonts w:hint="eastAsia" w:ascii="Times New Roman" w:hAnsi="Times New Roman" w:cs="Times New Roman"/>
          <w:color w:val="000000"/>
          <w:spacing w:val="0"/>
          <w:sz w:val="32"/>
          <w:szCs w:val="32"/>
          <w:lang w:val="en-US" w:eastAsia="zh-CN"/>
        </w:rPr>
        <w:t>（2）</w:t>
      </w:r>
      <w:r>
        <w:rPr>
          <w:rFonts w:hint="eastAsia" w:ascii="方正仿宋_GBK" w:hAnsi="方正仿宋_GBK" w:eastAsia="方正仿宋_GBK" w:cs="方正仿宋_GBK"/>
          <w:color w:val="000000"/>
          <w:spacing w:val="0"/>
          <w:sz w:val="32"/>
          <w:szCs w:val="32"/>
          <w:lang w:val="en-US" w:eastAsia="zh-CN"/>
        </w:rPr>
        <w:t>单位收入统筹</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000000"/>
          <w:spacing w:val="0"/>
          <w:sz w:val="32"/>
          <w:szCs w:val="32"/>
          <w:lang w:val="en-US" w:eastAsia="zh-CN"/>
        </w:rPr>
      </w:pPr>
      <w:r>
        <w:rPr>
          <w:rFonts w:hint="eastAsia" w:ascii="方正仿宋_GBK" w:hAnsi="方正仿宋_GBK" w:eastAsia="方正仿宋_GBK" w:cs="方正仿宋_GBK"/>
          <w:color w:val="000000"/>
          <w:spacing w:val="0"/>
          <w:sz w:val="32"/>
          <w:szCs w:val="32"/>
          <w:lang w:eastAsia="zh-CN"/>
        </w:rPr>
        <w:t>该项指标得分=（部门自有收入全年执行数÷部门自有收入年初预算数）×</w:t>
      </w:r>
      <w:r>
        <w:rPr>
          <w:rFonts w:hint="default" w:ascii="Times New Roman" w:hAnsi="Times New Roman" w:eastAsia="方正仿宋_GBK" w:cs="Times New Roman"/>
          <w:color w:val="000000"/>
          <w:spacing w:val="0"/>
          <w:sz w:val="32"/>
          <w:szCs w:val="32"/>
          <w:lang w:eastAsia="zh-CN"/>
        </w:rPr>
        <w:t>100</w:t>
      </w:r>
      <w:r>
        <w:rPr>
          <w:rFonts w:hint="eastAsia" w:ascii="方正仿宋_GBK" w:hAnsi="方正仿宋_GBK" w:eastAsia="方正仿宋_GBK" w:cs="方正仿宋_GBK"/>
          <w:color w:val="000000"/>
          <w:spacing w:val="0"/>
          <w:sz w:val="32"/>
          <w:szCs w:val="32"/>
          <w:lang w:eastAsia="zh-CN"/>
        </w:rPr>
        <w:t>%×</w:t>
      </w:r>
      <w:r>
        <w:rPr>
          <w:rFonts w:hint="eastAsia" w:ascii="Times New Roman" w:hAnsi="Times New Roman" w:eastAsia="方正仿宋_GBK" w:cs="Times New Roman"/>
          <w:color w:val="000000"/>
          <w:spacing w:val="0"/>
          <w:sz w:val="32"/>
          <w:szCs w:val="32"/>
          <w:lang w:eastAsia="zh-CN"/>
        </w:rPr>
        <w:t>2+（财政核定的综合补助比例÷按实际执行测算的综合补助比例）×100%×2。该项指标满分</w:t>
      </w:r>
      <w:r>
        <w:rPr>
          <w:rFonts w:hint="eastAsia" w:ascii="Times New Roman" w:hAnsi="Times New Roman" w:eastAsia="方正仿宋_GBK" w:cs="Times New Roman"/>
          <w:color w:val="000000"/>
          <w:spacing w:val="0"/>
          <w:sz w:val="32"/>
          <w:szCs w:val="32"/>
          <w:lang w:val="en-US" w:eastAsia="zh-CN"/>
        </w:rPr>
        <w:t>4分，2024年</w:t>
      </w:r>
      <w:r>
        <w:rPr>
          <w:rFonts w:hint="eastAsia" w:ascii="Times New Roman" w:hAnsi="Times New Roman" w:eastAsia="方正仿宋_GBK" w:cs="Times New Roman"/>
          <w:color w:val="000000"/>
          <w:spacing w:val="0"/>
          <w:sz w:val="32"/>
          <w:szCs w:val="32"/>
          <w:lang w:eastAsia="zh-CN"/>
        </w:rPr>
        <w:t>单位无自有收入，测算出我单位该项指标得分</w:t>
      </w:r>
      <w:r>
        <w:rPr>
          <w:rFonts w:hint="eastAsia" w:ascii="Times New Roman" w:hAnsi="Times New Roman" w:eastAsia="方正仿宋_GBK" w:cs="Times New Roman"/>
          <w:color w:val="000000"/>
          <w:spacing w:val="0"/>
          <w:sz w:val="32"/>
          <w:szCs w:val="32"/>
          <w:lang w:val="en-US" w:eastAsia="zh-CN"/>
        </w:rPr>
        <w:t>4分。</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000000"/>
          <w:spacing w:val="0"/>
          <w:sz w:val="32"/>
          <w:szCs w:val="32"/>
          <w:lang w:val="en-US" w:eastAsia="zh-CN"/>
        </w:rPr>
      </w:pPr>
      <w:r>
        <w:rPr>
          <w:rFonts w:hint="eastAsia" w:ascii="Times New Roman" w:hAnsi="Times New Roman" w:eastAsia="方正仿宋_GBK" w:cs="Times New Roman"/>
          <w:color w:val="000000"/>
          <w:spacing w:val="0"/>
          <w:sz w:val="32"/>
          <w:szCs w:val="32"/>
          <w:lang w:val="en-US" w:eastAsia="zh-CN"/>
        </w:rPr>
        <w:t>（3）支出执行进度</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000000"/>
          <w:spacing w:val="0"/>
          <w:sz w:val="32"/>
          <w:szCs w:val="32"/>
          <w:lang w:val="en-US" w:eastAsia="zh-CN"/>
        </w:rPr>
      </w:pPr>
      <w:r>
        <w:rPr>
          <w:rFonts w:hint="eastAsia" w:ascii="Times New Roman" w:hAnsi="Times New Roman" w:eastAsia="方正仿宋_GBK" w:cs="Times New Roman"/>
          <w:color w:val="000000"/>
          <w:spacing w:val="0"/>
          <w:sz w:val="32"/>
          <w:szCs w:val="32"/>
          <w:lang w:eastAsia="zh-CN"/>
        </w:rPr>
        <w:t>该项指标得分=（1至6月预算执行数÷（部门预算数×50%）×2）+（1-1至6月支出预警金额占比×0.8-1至6月支出违规金额占比×0.2）+（1至10月预算执行数÷（部门预算数×83.33%）×2）+（1-1至10月支出预警金额占比×0.8-1至10月支出违规金额占比×0.2）。我委全年部门预算数</w:t>
      </w:r>
      <w:r>
        <w:rPr>
          <w:rFonts w:hint="eastAsia" w:ascii="Times New Roman" w:hAnsi="Times New Roman" w:eastAsia="方正仿宋_GBK" w:cs="Times New Roman"/>
          <w:color w:val="000000"/>
          <w:spacing w:val="0"/>
          <w:sz w:val="32"/>
          <w:szCs w:val="32"/>
          <w:lang w:val="en-US" w:eastAsia="zh-CN"/>
        </w:rPr>
        <w:t>768.2万元，</w:t>
      </w:r>
      <w:r>
        <w:rPr>
          <w:rFonts w:hint="eastAsia" w:ascii="Times New Roman" w:hAnsi="Times New Roman" w:eastAsia="方正仿宋_GBK" w:cs="Times New Roman"/>
          <w:color w:val="000000"/>
          <w:spacing w:val="0"/>
          <w:sz w:val="32"/>
          <w:szCs w:val="32"/>
          <w:lang w:eastAsia="zh-CN"/>
        </w:rPr>
        <w:t>1至6月预算执行数</w:t>
      </w:r>
      <w:r>
        <w:rPr>
          <w:rFonts w:hint="eastAsia" w:ascii="Times New Roman" w:hAnsi="Times New Roman" w:eastAsia="方正仿宋_GBK" w:cs="Times New Roman"/>
          <w:color w:val="000000"/>
          <w:spacing w:val="0"/>
          <w:sz w:val="32"/>
          <w:szCs w:val="32"/>
          <w:lang w:val="en-US" w:eastAsia="zh-CN"/>
        </w:rPr>
        <w:t>320.38万元，</w:t>
      </w:r>
      <w:r>
        <w:rPr>
          <w:rFonts w:hint="eastAsia" w:ascii="Times New Roman" w:hAnsi="Times New Roman" w:eastAsia="方正仿宋_GBK" w:cs="Times New Roman"/>
          <w:color w:val="000000"/>
          <w:spacing w:val="0"/>
          <w:sz w:val="32"/>
          <w:szCs w:val="32"/>
          <w:lang w:eastAsia="zh-CN"/>
        </w:rPr>
        <w:t>1至10月预算执行数</w:t>
      </w:r>
      <w:r>
        <w:rPr>
          <w:rFonts w:hint="eastAsia" w:ascii="Times New Roman" w:hAnsi="Times New Roman" w:eastAsia="方正仿宋_GBK" w:cs="Times New Roman"/>
          <w:color w:val="000000"/>
          <w:spacing w:val="0"/>
          <w:sz w:val="32"/>
          <w:szCs w:val="32"/>
          <w:lang w:val="en-US" w:eastAsia="zh-CN"/>
        </w:rPr>
        <w:t>446.93万元，全年无预警及违规金额，</w:t>
      </w:r>
      <w:r>
        <w:rPr>
          <w:rFonts w:hint="eastAsia" w:ascii="Times New Roman" w:hAnsi="Times New Roman" w:eastAsia="方正仿宋_GBK" w:cs="Times New Roman"/>
          <w:color w:val="000000"/>
          <w:spacing w:val="0"/>
          <w:sz w:val="32"/>
          <w:szCs w:val="32"/>
          <w:lang w:eastAsia="zh-CN"/>
        </w:rPr>
        <w:t>该项指标满分</w:t>
      </w:r>
      <w:r>
        <w:rPr>
          <w:rFonts w:hint="eastAsia" w:ascii="Times New Roman" w:hAnsi="Times New Roman" w:eastAsia="方正仿宋_GBK" w:cs="Times New Roman"/>
          <w:color w:val="000000"/>
          <w:spacing w:val="0"/>
          <w:sz w:val="32"/>
          <w:szCs w:val="32"/>
          <w:lang w:val="en-US" w:eastAsia="zh-CN"/>
        </w:rPr>
        <w:t>6分，2024年</w:t>
      </w:r>
      <w:r>
        <w:rPr>
          <w:rFonts w:hint="eastAsia" w:ascii="Times New Roman" w:hAnsi="Times New Roman" w:eastAsia="方正仿宋_GBK" w:cs="Times New Roman"/>
          <w:color w:val="000000"/>
          <w:spacing w:val="0"/>
          <w:sz w:val="32"/>
          <w:szCs w:val="32"/>
          <w:lang w:eastAsia="zh-CN"/>
        </w:rPr>
        <w:t>单位无自有收入，测算出我单位该项指标得分</w:t>
      </w:r>
      <w:r>
        <w:rPr>
          <w:rFonts w:hint="eastAsia" w:ascii="Times New Roman" w:hAnsi="Times New Roman" w:eastAsia="方正仿宋_GBK" w:cs="Times New Roman"/>
          <w:color w:val="000000"/>
          <w:spacing w:val="0"/>
          <w:sz w:val="32"/>
          <w:szCs w:val="32"/>
          <w:lang w:val="en-US" w:eastAsia="zh-CN"/>
        </w:rPr>
        <w:t>5.07分。</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000000"/>
          <w:spacing w:val="0"/>
          <w:sz w:val="32"/>
          <w:szCs w:val="32"/>
          <w:lang w:val="en-US" w:eastAsia="zh-CN"/>
        </w:rPr>
      </w:pPr>
      <w:r>
        <w:rPr>
          <w:rFonts w:hint="eastAsia" w:ascii="Times New Roman" w:hAnsi="Times New Roman" w:eastAsia="方正仿宋_GBK" w:cs="Times New Roman"/>
          <w:color w:val="000000"/>
          <w:spacing w:val="0"/>
          <w:sz w:val="32"/>
          <w:szCs w:val="32"/>
          <w:lang w:val="en-US" w:eastAsia="zh-CN"/>
        </w:rPr>
        <w:t>（4）预算年终结余</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000000"/>
          <w:spacing w:val="0"/>
          <w:sz w:val="32"/>
          <w:szCs w:val="32"/>
          <w:lang w:eastAsia="zh-CN"/>
        </w:rPr>
      </w:pPr>
      <w:r>
        <w:rPr>
          <w:rFonts w:hint="eastAsia" w:ascii="Times New Roman" w:hAnsi="Times New Roman" w:eastAsia="方正仿宋_GBK" w:cs="Times New Roman"/>
          <w:color w:val="000000"/>
          <w:spacing w:val="0"/>
          <w:sz w:val="32"/>
          <w:szCs w:val="32"/>
          <w:lang w:eastAsia="zh-CN"/>
        </w:rPr>
        <w:t>该项指标得分=（1-部门整体预算结余率）×100%×2。部门整体预算结余率为当年年终部门预算注销金额和结转金额占部门预算总金额的比率。我委年终无结转结余指标</w:t>
      </w:r>
      <w:r>
        <w:rPr>
          <w:rFonts w:hint="eastAsia" w:ascii="Times New Roman" w:hAnsi="Times New Roman" w:eastAsia="方正仿宋_GBK" w:cs="Times New Roman"/>
          <w:color w:val="000000"/>
          <w:spacing w:val="0"/>
          <w:sz w:val="32"/>
          <w:szCs w:val="32"/>
          <w:lang w:val="en-US" w:eastAsia="zh-CN"/>
        </w:rPr>
        <w:t>，</w:t>
      </w:r>
      <w:r>
        <w:rPr>
          <w:rFonts w:hint="eastAsia" w:ascii="Times New Roman" w:hAnsi="Times New Roman" w:eastAsia="方正仿宋_GBK" w:cs="Times New Roman"/>
          <w:color w:val="000000"/>
          <w:spacing w:val="0"/>
          <w:sz w:val="32"/>
          <w:szCs w:val="32"/>
          <w:lang w:eastAsia="zh-CN"/>
        </w:rPr>
        <w:t>该项指标满分</w:t>
      </w:r>
      <w:r>
        <w:rPr>
          <w:rFonts w:hint="eastAsia" w:ascii="Times New Roman" w:hAnsi="Times New Roman" w:eastAsia="方正仿宋_GBK" w:cs="Times New Roman"/>
          <w:color w:val="000000"/>
          <w:spacing w:val="0"/>
          <w:sz w:val="32"/>
          <w:szCs w:val="32"/>
          <w:lang w:val="en-US" w:eastAsia="zh-CN"/>
        </w:rPr>
        <w:t>2分，</w:t>
      </w:r>
      <w:r>
        <w:rPr>
          <w:rFonts w:hint="eastAsia" w:ascii="Times New Roman" w:hAnsi="Times New Roman" w:eastAsia="方正仿宋_GBK" w:cs="Times New Roman"/>
          <w:color w:val="000000"/>
          <w:spacing w:val="0"/>
          <w:sz w:val="32"/>
          <w:szCs w:val="32"/>
          <w:lang w:eastAsia="zh-CN"/>
        </w:rPr>
        <w:t>我单位该项指标得分</w:t>
      </w:r>
      <w:r>
        <w:rPr>
          <w:rFonts w:hint="eastAsia" w:ascii="Times New Roman" w:hAnsi="Times New Roman" w:eastAsia="方正仿宋_GBK" w:cs="Times New Roman"/>
          <w:color w:val="000000"/>
          <w:spacing w:val="0"/>
          <w:sz w:val="32"/>
          <w:szCs w:val="32"/>
          <w:lang w:val="en-US" w:eastAsia="zh-CN"/>
        </w:rPr>
        <w:t>2分。</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000000"/>
          <w:spacing w:val="0"/>
          <w:sz w:val="32"/>
          <w:szCs w:val="32"/>
          <w:lang w:val="en-US" w:eastAsia="zh-CN"/>
        </w:rPr>
      </w:pPr>
      <w:r>
        <w:rPr>
          <w:rFonts w:hint="eastAsia" w:ascii="Times New Roman" w:hAnsi="Times New Roman" w:eastAsia="方正仿宋_GBK" w:cs="Times New Roman"/>
          <w:color w:val="000000"/>
          <w:spacing w:val="0"/>
          <w:sz w:val="32"/>
          <w:szCs w:val="32"/>
          <w:lang w:val="en-US" w:eastAsia="zh-CN"/>
        </w:rPr>
        <w:t>（5）严控一般性支出</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default" w:ascii="Times New Roman" w:hAnsi="Times New Roman" w:cs="Times New Roman"/>
          <w:color w:val="000000"/>
          <w:spacing w:val="0"/>
          <w:sz w:val="32"/>
          <w:szCs w:val="32"/>
        </w:rPr>
      </w:pPr>
      <w:r>
        <w:rPr>
          <w:rFonts w:hint="eastAsia" w:ascii="Times New Roman" w:hAnsi="Times New Roman" w:eastAsia="方正仿宋_GBK" w:cs="Times New Roman"/>
          <w:color w:val="000000"/>
          <w:spacing w:val="0"/>
          <w:sz w:val="32"/>
          <w:szCs w:val="32"/>
          <w:lang w:eastAsia="zh-CN"/>
        </w:rPr>
        <w:t>该项指标得分=基础分值+加分值。主要指部门严控“三公”经费、会议、培训、差旅、办节办展、办公设备购置、信息网络及软件购置更新、课题经费等8项一般性支出情况。一是基础分值。一般性支出财政拨款年初预算较上年实现压减得1分；一般性支出财政拨款预算执行较上年实现压减得1分。二是加分值。一般性支出财政拨款年初预算较上年每压减1%得0.2分，累计不超过1分；一般性支出财政拨款预算执行较上年每压减1%得0.4分，累计不超过2分。我委</w:t>
      </w:r>
      <w:r>
        <w:rPr>
          <w:rFonts w:hint="eastAsia" w:ascii="Times New Roman" w:hAnsi="Times New Roman" w:eastAsia="方正仿宋_GBK" w:cs="Times New Roman"/>
          <w:color w:val="000000"/>
          <w:spacing w:val="0"/>
          <w:sz w:val="32"/>
          <w:szCs w:val="32"/>
          <w:lang w:val="en-US" w:eastAsia="zh-CN"/>
        </w:rPr>
        <w:t>2024年</w:t>
      </w:r>
      <w:r>
        <w:rPr>
          <w:rFonts w:hint="eastAsia" w:ascii="Times New Roman" w:hAnsi="Times New Roman" w:eastAsia="方正仿宋_GBK" w:cs="Times New Roman"/>
          <w:color w:val="000000"/>
          <w:spacing w:val="0"/>
          <w:sz w:val="32"/>
          <w:szCs w:val="32"/>
          <w:lang w:eastAsia="zh-CN"/>
        </w:rPr>
        <w:t>年初预算一般性支出</w:t>
      </w:r>
      <w:r>
        <w:rPr>
          <w:rFonts w:hint="eastAsia" w:ascii="Times New Roman" w:hAnsi="Times New Roman" w:eastAsia="方正仿宋_GBK" w:cs="Times New Roman"/>
          <w:color w:val="000000"/>
          <w:spacing w:val="0"/>
          <w:sz w:val="32"/>
          <w:szCs w:val="32"/>
          <w:lang w:val="en-US" w:eastAsia="zh-CN"/>
        </w:rPr>
        <w:t>22.93万元，2023年年初预算</w:t>
      </w:r>
      <w:r>
        <w:rPr>
          <w:rFonts w:hint="eastAsia" w:ascii="Times New Roman" w:hAnsi="Times New Roman" w:eastAsia="方正仿宋_GBK" w:cs="Times New Roman"/>
          <w:color w:val="000000"/>
          <w:spacing w:val="0"/>
          <w:sz w:val="32"/>
          <w:szCs w:val="32"/>
          <w:lang w:eastAsia="zh-CN"/>
        </w:rPr>
        <w:t>一般性支出</w:t>
      </w:r>
      <w:r>
        <w:rPr>
          <w:rFonts w:hint="eastAsia" w:ascii="Times New Roman" w:hAnsi="Times New Roman" w:eastAsia="方正仿宋_GBK" w:cs="Times New Roman"/>
          <w:color w:val="000000"/>
          <w:spacing w:val="0"/>
          <w:sz w:val="32"/>
          <w:szCs w:val="32"/>
          <w:lang w:val="en-US" w:eastAsia="zh-CN"/>
        </w:rPr>
        <w:t>36.14万元，2024年全年执行</w:t>
      </w:r>
      <w:r>
        <w:rPr>
          <w:rFonts w:hint="eastAsia" w:ascii="Times New Roman" w:hAnsi="Times New Roman" w:eastAsia="方正仿宋_GBK" w:cs="Times New Roman"/>
          <w:color w:val="000000"/>
          <w:spacing w:val="0"/>
          <w:sz w:val="32"/>
          <w:szCs w:val="32"/>
          <w:lang w:eastAsia="zh-CN"/>
        </w:rPr>
        <w:t>一般性支出</w:t>
      </w:r>
      <w:r>
        <w:rPr>
          <w:rFonts w:hint="eastAsia" w:ascii="Times New Roman" w:hAnsi="Times New Roman" w:eastAsia="方正仿宋_GBK" w:cs="Times New Roman"/>
          <w:color w:val="000000"/>
          <w:spacing w:val="0"/>
          <w:sz w:val="32"/>
          <w:szCs w:val="32"/>
          <w:lang w:val="en-US" w:eastAsia="zh-CN"/>
        </w:rPr>
        <w:t>45.54万元，2023年全年执行</w:t>
      </w:r>
      <w:r>
        <w:rPr>
          <w:rFonts w:hint="eastAsia" w:ascii="Times New Roman" w:hAnsi="Times New Roman" w:eastAsia="方正仿宋_GBK" w:cs="Times New Roman"/>
          <w:color w:val="000000"/>
          <w:spacing w:val="0"/>
          <w:sz w:val="32"/>
          <w:szCs w:val="32"/>
          <w:lang w:eastAsia="zh-CN"/>
        </w:rPr>
        <w:t>一般性支出</w:t>
      </w:r>
      <w:r>
        <w:rPr>
          <w:rFonts w:hint="eastAsia" w:ascii="Times New Roman" w:hAnsi="Times New Roman" w:eastAsia="方正仿宋_GBK" w:cs="Times New Roman"/>
          <w:color w:val="000000"/>
          <w:spacing w:val="0"/>
          <w:sz w:val="32"/>
          <w:szCs w:val="32"/>
          <w:lang w:val="en-US" w:eastAsia="zh-CN"/>
        </w:rPr>
        <w:t>39.8万元，增加项主要为2024年因创建民族团结进步示范市的相关工作任务，开支了与西南民族大学的合作研究课题费16万元，</w:t>
      </w:r>
      <w:r>
        <w:rPr>
          <w:rFonts w:hint="eastAsia" w:ascii="Times New Roman" w:hAnsi="Times New Roman" w:eastAsia="方正仿宋_GBK" w:cs="Times New Roman"/>
          <w:color w:val="000000"/>
          <w:spacing w:val="0"/>
          <w:sz w:val="32"/>
          <w:szCs w:val="32"/>
          <w:lang w:eastAsia="zh-CN"/>
        </w:rPr>
        <w:t>该项指标满分</w:t>
      </w:r>
      <w:r>
        <w:rPr>
          <w:rFonts w:hint="eastAsia" w:ascii="Times New Roman" w:hAnsi="Times New Roman" w:eastAsia="方正仿宋_GBK" w:cs="Times New Roman"/>
          <w:color w:val="000000"/>
          <w:spacing w:val="0"/>
          <w:sz w:val="32"/>
          <w:szCs w:val="32"/>
          <w:lang w:val="en-US" w:eastAsia="zh-CN"/>
        </w:rPr>
        <w:t>5分，</w:t>
      </w:r>
      <w:r>
        <w:rPr>
          <w:rFonts w:hint="eastAsia" w:ascii="Times New Roman" w:hAnsi="Times New Roman" w:eastAsia="方正仿宋_GBK" w:cs="Times New Roman"/>
          <w:color w:val="000000"/>
          <w:spacing w:val="0"/>
          <w:sz w:val="32"/>
          <w:szCs w:val="32"/>
          <w:lang w:eastAsia="zh-CN"/>
        </w:rPr>
        <w:t>我单位该项指标得分</w:t>
      </w:r>
      <w:r>
        <w:rPr>
          <w:rFonts w:hint="eastAsia" w:ascii="Times New Roman" w:hAnsi="Times New Roman" w:eastAsia="方正仿宋_GBK" w:cs="Times New Roman"/>
          <w:color w:val="000000"/>
          <w:spacing w:val="0"/>
          <w:sz w:val="32"/>
          <w:szCs w:val="32"/>
          <w:lang w:val="en-US" w:eastAsia="zh-CN"/>
        </w:rPr>
        <w:t>2</w:t>
      </w:r>
      <w:r>
        <w:rPr>
          <w:rFonts w:hint="eastAsia" w:ascii="方正仿宋_GBK" w:hAnsi="方正仿宋_GBK" w:eastAsia="方正仿宋_GBK" w:cs="方正仿宋_GBK"/>
          <w:color w:val="000000"/>
          <w:spacing w:val="0"/>
          <w:sz w:val="32"/>
          <w:szCs w:val="32"/>
          <w:lang w:val="en-US" w:eastAsia="zh-CN"/>
        </w:rPr>
        <w:t>分。</w:t>
      </w:r>
    </w:p>
    <w:p>
      <w:pPr>
        <w:pStyle w:val="22"/>
        <w:keepNext w:val="0"/>
        <w:keepLines w:val="0"/>
        <w:pageBreakBefore w:val="0"/>
        <w:numPr>
          <w:ilvl w:val="0"/>
          <w:numId w:val="0"/>
        </w:numPr>
        <w:kinsoku/>
        <w:wordWrap/>
        <w:overflowPunct/>
        <w:topLinePunct w:val="0"/>
        <w:bidi w:val="0"/>
        <w:adjustRightInd/>
        <w:snapToGrid/>
        <w:spacing w:line="240" w:lineRule="auto"/>
        <w:ind w:left="0" w:leftChars="0" w:firstLine="640" w:firstLineChars="200"/>
        <w:jc w:val="both"/>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3.</w:t>
      </w:r>
      <w:r>
        <w:rPr>
          <w:rFonts w:hint="eastAsia" w:ascii="方正仿宋_GBK" w:hAnsi="方正仿宋_GBK" w:eastAsia="方正仿宋_GBK" w:cs="方正仿宋_GBK"/>
          <w:color w:val="auto"/>
          <w:kern w:val="2"/>
          <w:sz w:val="32"/>
          <w:szCs w:val="32"/>
          <w:lang w:val="en-US" w:eastAsia="zh-CN" w:bidi="ar-SA"/>
        </w:rPr>
        <w:t>财务管理</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000000"/>
          <w:spacing w:val="0"/>
          <w:sz w:val="32"/>
          <w:szCs w:val="32"/>
          <w:lang w:val="en-US" w:eastAsia="zh-CN"/>
        </w:rPr>
      </w:pPr>
      <w:r>
        <w:rPr>
          <w:rFonts w:hint="eastAsia" w:ascii="方正仿宋_GBK" w:hAnsi="方正仿宋_GBK" w:eastAsia="方正仿宋_GBK" w:cs="方正仿宋_GBK"/>
          <w:color w:val="000000"/>
          <w:spacing w:val="0"/>
          <w:kern w:val="0"/>
          <w:sz w:val="32"/>
          <w:szCs w:val="32"/>
          <w:shd w:val="clear" w:color="auto" w:fill="FFFFFF"/>
        </w:rPr>
        <w:t>我委</w:t>
      </w:r>
      <w:r>
        <w:rPr>
          <w:rFonts w:hint="eastAsia" w:ascii="方正仿宋_GBK" w:hAnsi="方正仿宋_GBK" w:eastAsia="方正仿宋_GBK" w:cs="方正仿宋_GBK"/>
          <w:color w:val="000000"/>
          <w:spacing w:val="0"/>
          <w:kern w:val="0"/>
          <w:sz w:val="32"/>
          <w:szCs w:val="32"/>
        </w:rPr>
        <w:t>所有</w:t>
      </w:r>
      <w:r>
        <w:rPr>
          <w:rFonts w:hint="eastAsia" w:ascii="方正仿宋_GBK" w:hAnsi="方正仿宋_GBK" w:eastAsia="方正仿宋_GBK" w:cs="方正仿宋_GBK"/>
          <w:color w:val="000000"/>
          <w:spacing w:val="0"/>
          <w:kern w:val="0"/>
          <w:sz w:val="32"/>
          <w:szCs w:val="32"/>
          <w:lang w:eastAsia="zh-CN"/>
        </w:rPr>
        <w:t>资金均严格按照财经纪律相关规定执行，并结合我单位情况，制定了单位内控管理制度，及时根据最新文件进行完善更新，财务岗位严格实行了不相容岗位分离，</w:t>
      </w:r>
      <w:r>
        <w:rPr>
          <w:rFonts w:hint="eastAsia" w:ascii="方正仿宋_GBK" w:hAnsi="方正仿宋_GBK" w:eastAsia="方正仿宋_GBK" w:cs="方正仿宋_GBK"/>
          <w:color w:val="000000"/>
          <w:spacing w:val="0"/>
          <w:kern w:val="0"/>
          <w:sz w:val="32"/>
          <w:szCs w:val="32"/>
        </w:rPr>
        <w:t>未发现</w:t>
      </w:r>
      <w:r>
        <w:rPr>
          <w:rFonts w:hint="eastAsia" w:ascii="方正仿宋_GBK" w:hAnsi="方正仿宋_GBK" w:eastAsia="方正仿宋_GBK" w:cs="方正仿宋_GBK"/>
          <w:color w:val="000000"/>
          <w:spacing w:val="0"/>
          <w:kern w:val="0"/>
          <w:sz w:val="32"/>
          <w:szCs w:val="32"/>
          <w:lang w:eastAsia="zh-CN"/>
        </w:rPr>
        <w:t>资金使用</w:t>
      </w:r>
      <w:r>
        <w:rPr>
          <w:rFonts w:hint="eastAsia" w:ascii="方正仿宋_GBK" w:hAnsi="方正仿宋_GBK" w:eastAsia="方正仿宋_GBK" w:cs="方正仿宋_GBK"/>
          <w:color w:val="000000"/>
          <w:spacing w:val="0"/>
          <w:kern w:val="0"/>
          <w:sz w:val="32"/>
          <w:szCs w:val="32"/>
        </w:rPr>
        <w:t>管理方面违纪违规问题。</w:t>
      </w:r>
      <w:r>
        <w:rPr>
          <w:rFonts w:hint="eastAsia" w:ascii="方正仿宋_GBK" w:hAnsi="方正仿宋_GBK" w:eastAsia="方正仿宋_GBK" w:cs="方正仿宋_GBK"/>
          <w:color w:val="000000"/>
          <w:spacing w:val="0"/>
          <w:sz w:val="32"/>
          <w:szCs w:val="32"/>
          <w:lang w:eastAsia="zh-CN"/>
        </w:rPr>
        <w:t>该项指标满分</w:t>
      </w:r>
      <w:r>
        <w:rPr>
          <w:rFonts w:hint="default" w:ascii="Times New Roman" w:hAnsi="Times New Roman" w:eastAsia="方正仿宋_GBK" w:cs="Times New Roman"/>
          <w:color w:val="000000"/>
          <w:spacing w:val="0"/>
          <w:sz w:val="32"/>
          <w:szCs w:val="32"/>
          <w:lang w:val="en-US" w:eastAsia="zh-CN"/>
        </w:rPr>
        <w:t>10</w:t>
      </w:r>
      <w:r>
        <w:rPr>
          <w:rFonts w:hint="eastAsia" w:ascii="方正仿宋_GBK" w:hAnsi="方正仿宋_GBK" w:eastAsia="方正仿宋_GBK" w:cs="方正仿宋_GBK"/>
          <w:color w:val="000000"/>
          <w:spacing w:val="0"/>
          <w:sz w:val="32"/>
          <w:szCs w:val="32"/>
          <w:lang w:val="en-US" w:eastAsia="zh-CN"/>
        </w:rPr>
        <w:t>分，</w:t>
      </w:r>
      <w:r>
        <w:rPr>
          <w:rFonts w:hint="eastAsia" w:ascii="方正仿宋_GBK" w:hAnsi="方正仿宋_GBK" w:eastAsia="方正仿宋_GBK" w:cs="方正仿宋_GBK"/>
          <w:color w:val="000000"/>
          <w:spacing w:val="0"/>
          <w:sz w:val="32"/>
          <w:szCs w:val="32"/>
          <w:lang w:eastAsia="zh-CN"/>
        </w:rPr>
        <w:t>我单位该项指标得</w:t>
      </w:r>
      <w:r>
        <w:rPr>
          <w:rFonts w:hint="eastAsia" w:ascii="Times New Roman" w:hAnsi="Times New Roman" w:eastAsia="方正仿宋_GBK" w:cs="Times New Roman"/>
          <w:color w:val="000000"/>
          <w:spacing w:val="0"/>
          <w:sz w:val="32"/>
          <w:szCs w:val="32"/>
          <w:lang w:val="en-US" w:eastAsia="zh-CN"/>
        </w:rPr>
        <w:t>分10分。</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000000"/>
          <w:spacing w:val="0"/>
          <w:sz w:val="32"/>
          <w:szCs w:val="32"/>
          <w:lang w:val="en-US" w:eastAsia="zh-CN"/>
        </w:rPr>
      </w:pPr>
      <w:r>
        <w:rPr>
          <w:rFonts w:hint="eastAsia" w:ascii="Times New Roman" w:hAnsi="Times New Roman" w:eastAsia="方正仿宋_GBK" w:cs="Times New Roman"/>
          <w:color w:val="000000"/>
          <w:spacing w:val="0"/>
          <w:sz w:val="32"/>
          <w:szCs w:val="32"/>
          <w:lang w:val="en-US" w:eastAsia="zh-CN"/>
        </w:rPr>
        <w:t>4.资产管理</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000000"/>
          <w:spacing w:val="0"/>
          <w:sz w:val="32"/>
          <w:szCs w:val="32"/>
          <w:lang w:val="en-US" w:eastAsia="zh-CN"/>
        </w:rPr>
      </w:pPr>
      <w:r>
        <w:rPr>
          <w:rFonts w:hint="eastAsia" w:ascii="Times New Roman" w:hAnsi="Times New Roman" w:eastAsia="方正仿宋_GBK" w:cs="Times New Roman"/>
          <w:color w:val="000000"/>
          <w:spacing w:val="0"/>
          <w:sz w:val="32"/>
          <w:szCs w:val="32"/>
          <w:lang w:val="en-US" w:eastAsia="zh-CN"/>
        </w:rPr>
        <w:t>（1）人均资产变化率</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000000"/>
          <w:spacing w:val="0"/>
          <w:sz w:val="32"/>
          <w:szCs w:val="32"/>
          <w:lang w:val="en-US" w:eastAsia="zh-CN"/>
        </w:rPr>
      </w:pPr>
      <w:r>
        <w:rPr>
          <w:rFonts w:hint="eastAsia" w:ascii="Times New Roman" w:hAnsi="Times New Roman" w:eastAsia="方正仿宋_GBK" w:cs="Times New Roman"/>
          <w:color w:val="000000"/>
          <w:spacing w:val="0"/>
          <w:sz w:val="32"/>
          <w:szCs w:val="32"/>
          <w:lang w:val="en-US" w:eastAsia="zh-CN"/>
        </w:rPr>
        <w:t>部门人均资产变化率为X，市级行政事业单位人均资产变化率为N，则：X≤N，得1.5分；N＜X≤1.2N，得0.9分；1.2N＜X≤1.4N，得0.6分；X＞1.4N，得0.3分。部门人均资产增长率为X，同期市级财政收入增长率为N，则：X≤0，得1.5分；0＜X≤N，得0.9分；N＜X≤2N，得0.6分；X＞2N，不得分。我委人均资产变化率为-9%，市级行政事业单位人均资产变化率为15.358%，同期市级财政收入增长率为-0.86%，该项指标满分3分，我单位该项指标得分3分。</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000000"/>
          <w:spacing w:val="0"/>
          <w:sz w:val="32"/>
          <w:szCs w:val="32"/>
          <w:lang w:val="en-US" w:eastAsia="zh-CN"/>
        </w:rPr>
      </w:pPr>
      <w:r>
        <w:rPr>
          <w:rFonts w:hint="eastAsia" w:ascii="Times New Roman" w:hAnsi="Times New Roman" w:eastAsia="方正仿宋_GBK" w:cs="Times New Roman"/>
          <w:color w:val="000000"/>
          <w:spacing w:val="0"/>
          <w:sz w:val="32"/>
          <w:szCs w:val="32"/>
          <w:lang w:val="en-US" w:eastAsia="zh-CN"/>
        </w:rPr>
        <w:t>（2）资产利用率</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color w:val="000000"/>
          <w:spacing w:val="0"/>
          <w:sz w:val="32"/>
          <w:szCs w:val="32"/>
          <w:lang w:val="en-US" w:eastAsia="zh-CN"/>
        </w:rPr>
      </w:pPr>
      <w:r>
        <w:rPr>
          <w:rFonts w:hint="eastAsia" w:ascii="Times New Roman" w:hAnsi="Times New Roman" w:eastAsia="方正仿宋_GBK" w:cs="Times New Roman"/>
          <w:color w:val="000000"/>
          <w:spacing w:val="0"/>
          <w:sz w:val="32"/>
          <w:szCs w:val="32"/>
          <w:lang w:val="en-US" w:eastAsia="zh-CN"/>
        </w:rPr>
        <w:t>部门办公家具超最低使用年限资产利用率=超最低使用年限的办公家具账面价值÷办公家具账面价值×100%。办公家具超最低使用年限资产利用率为X，市级行政事业单位平均值为N，则：X＞N，得1.5分；0.8N＜X≤N，得0.9分；0.6N＜X≤0.8N，得0.6分；X≤0.6N，得0.3分。部门办公设备超最低使用年限资产利用率=超最低使用年限的办公设备账面价值÷办公设备账面价值×100%。办公设备超最低使用年限资产利用率为X，市级行政事业单位平均值为N，则：X＞N，得1.5分；0.8N＜X≤N，得0.9分；0.6N＜X≤0.8N，得0.6分；X≤0.6N，得0.3分。我委办公家具超最低使用年限资产利用率3.8%，市级行政事业单位平均值为50.64%，X≤0.6N，得0.3分；我委办公设备超最低使用年限资产利用率60.3%，市级行政事业单位平均值17.51%，X＞N，得1.5分，该项指标满分3分，我单位该项指标得分1.8分。</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000000"/>
          <w:spacing w:val="0"/>
          <w:sz w:val="32"/>
          <w:szCs w:val="32"/>
          <w:lang w:val="en-US" w:eastAsia="zh-CN"/>
        </w:rPr>
      </w:pPr>
      <w:r>
        <w:rPr>
          <w:rFonts w:hint="eastAsia" w:ascii="Times New Roman" w:hAnsi="Times New Roman" w:eastAsia="方正仿宋_GBK" w:cs="Times New Roman"/>
          <w:color w:val="000000"/>
          <w:spacing w:val="0"/>
          <w:sz w:val="32"/>
          <w:szCs w:val="32"/>
          <w:lang w:val="en-US" w:eastAsia="zh-CN"/>
        </w:rPr>
        <w:t>（3）资产盘活率</w:t>
      </w:r>
    </w:p>
    <w:p>
      <w:pPr>
        <w:pStyle w:val="22"/>
        <w:keepNext w:val="0"/>
        <w:keepLines w:val="0"/>
        <w:pageBreakBefore w:val="0"/>
        <w:widowControl w:val="0"/>
        <w:kinsoku/>
        <w:wordWrap/>
        <w:overflowPunct/>
        <w:topLinePunct w:val="0"/>
        <w:autoSpaceDE w:val="0"/>
        <w:autoSpaceDN w:val="0"/>
        <w:bidi w:val="0"/>
        <w:adjustRightInd/>
        <w:snapToGrid/>
        <w:ind w:firstLine="640" w:firstLineChars="200"/>
        <w:textAlignment w:val="auto"/>
        <w:rPr>
          <w:rFonts w:hint="eastAsia" w:ascii="Times New Roman" w:hAnsi="Times New Roman" w:eastAsia="方正仿宋_GBK" w:cs="Times New Roman"/>
          <w:color w:val="000000"/>
          <w:spacing w:val="0"/>
          <w:sz w:val="32"/>
          <w:szCs w:val="32"/>
          <w:lang w:val="en-US" w:eastAsia="zh-CN"/>
        </w:rPr>
      </w:pPr>
      <w:r>
        <w:rPr>
          <w:rFonts w:hint="eastAsia" w:ascii="Times New Roman" w:hAnsi="Times New Roman" w:eastAsia="方正仿宋_GBK" w:cs="Times New Roman"/>
          <w:color w:val="000000"/>
          <w:spacing w:val="0"/>
          <w:sz w:val="32"/>
          <w:szCs w:val="32"/>
          <w:lang w:val="en-US" w:eastAsia="zh-CN"/>
        </w:rPr>
        <w:t>部门闲置资产占比变化率=(本年闲置资产账面价值÷本年总资产账面价值)÷(上一年度闲置资产账面价值÷上一年度总资产账面价值)×100%，变化率在60%以下的得2.4分，60%-80%的得1.8分，80-100%的得1.2分，100%以上的不得分。两年均无闲置资产或上年度有闲置资产评价年度无闲置资产的，该项指标得3分。该项指标满分3分，我单位该项指标得分3分。</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000000"/>
          <w:spacing w:val="0"/>
          <w:sz w:val="32"/>
          <w:szCs w:val="32"/>
          <w:lang w:val="en-US" w:eastAsia="zh-CN"/>
        </w:rPr>
      </w:pPr>
      <w:r>
        <w:rPr>
          <w:rFonts w:hint="eastAsia" w:ascii="Times New Roman" w:hAnsi="Times New Roman" w:eastAsia="方正仿宋_GBK" w:cs="Times New Roman"/>
          <w:color w:val="000000"/>
          <w:spacing w:val="0"/>
          <w:sz w:val="32"/>
          <w:szCs w:val="32"/>
          <w:lang w:val="en-US" w:eastAsia="zh-CN"/>
        </w:rPr>
        <w:t>5.采购管理</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000000"/>
          <w:spacing w:val="0"/>
          <w:sz w:val="32"/>
          <w:szCs w:val="32"/>
          <w:lang w:val="en-US" w:eastAsia="zh-CN"/>
        </w:rPr>
      </w:pPr>
      <w:r>
        <w:rPr>
          <w:rFonts w:hint="eastAsia" w:ascii="Times New Roman" w:hAnsi="Times New Roman" w:eastAsia="方正仿宋_GBK" w:cs="Times New Roman"/>
          <w:color w:val="000000"/>
          <w:spacing w:val="0"/>
          <w:sz w:val="32"/>
          <w:szCs w:val="32"/>
          <w:lang w:val="en-US" w:eastAsia="zh-CN"/>
        </w:rPr>
        <w:t>（1）支持中小企业发展</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000000"/>
          <w:spacing w:val="0"/>
          <w:sz w:val="32"/>
          <w:szCs w:val="32"/>
          <w:lang w:val="en-US" w:eastAsia="zh-CN"/>
        </w:rPr>
      </w:pPr>
      <w:r>
        <w:rPr>
          <w:rFonts w:hint="eastAsia" w:ascii="Times New Roman" w:hAnsi="Times New Roman" w:eastAsia="方正仿宋_GBK" w:cs="Times New Roman"/>
          <w:color w:val="000000"/>
          <w:spacing w:val="0"/>
          <w:sz w:val="32"/>
          <w:szCs w:val="32"/>
          <w:lang w:val="en-US" w:eastAsia="zh-CN"/>
        </w:rPr>
        <w:t>对适宜由中小企业提供的采购项目和采购包，预留采购份额专门面向中小企业采购，并在采购预算中单独列示，不符合要求的扣3分。我委对适宜由中小企业提供的采购项目和采购包均在采购项目新增的时候单独列示，该项指标满分3分，我单位该项指标得分3分。</w:t>
      </w:r>
    </w:p>
    <w:p>
      <w:pPr>
        <w:pStyle w:val="22"/>
        <w:keepNext w:val="0"/>
        <w:keepLines w:val="0"/>
        <w:pageBreakBefore w:val="0"/>
        <w:widowControl w:val="0"/>
        <w:numPr>
          <w:ilvl w:val="0"/>
          <w:numId w:val="4"/>
        </w:numPr>
        <w:kinsoku/>
        <w:wordWrap/>
        <w:overflowPunct/>
        <w:topLinePunct w:val="0"/>
        <w:autoSpaceDE w:val="0"/>
        <w:autoSpaceDN w:val="0"/>
        <w:bidi w:val="0"/>
        <w:adjustRightInd/>
        <w:snapToGrid/>
        <w:ind w:firstLine="640" w:firstLineChars="200"/>
        <w:textAlignment w:val="auto"/>
        <w:rPr>
          <w:rFonts w:hint="eastAsia" w:ascii="Times New Roman" w:hAnsi="Times New Roman" w:eastAsia="方正仿宋_GBK" w:cs="Times New Roman"/>
          <w:color w:val="000000"/>
          <w:spacing w:val="0"/>
          <w:sz w:val="32"/>
          <w:szCs w:val="32"/>
          <w:lang w:val="en-US" w:eastAsia="zh-CN"/>
        </w:rPr>
      </w:pPr>
      <w:r>
        <w:rPr>
          <w:rFonts w:hint="eastAsia" w:ascii="Times New Roman" w:hAnsi="Times New Roman" w:eastAsia="方正仿宋_GBK" w:cs="Times New Roman"/>
          <w:color w:val="000000"/>
          <w:spacing w:val="0"/>
          <w:sz w:val="32"/>
          <w:szCs w:val="32"/>
          <w:lang w:val="en-US" w:eastAsia="zh-CN"/>
        </w:rPr>
        <w:t>采购执行率</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000000"/>
          <w:spacing w:val="0"/>
          <w:sz w:val="32"/>
          <w:szCs w:val="32"/>
          <w:lang w:val="en-US" w:eastAsia="zh-CN"/>
        </w:rPr>
      </w:pPr>
      <w:r>
        <w:rPr>
          <w:rFonts w:hint="eastAsia" w:ascii="Times New Roman" w:hAnsi="Times New Roman" w:eastAsia="方正仿宋_GBK" w:cs="Times New Roman"/>
          <w:color w:val="000000"/>
          <w:spacing w:val="0"/>
          <w:sz w:val="32"/>
          <w:szCs w:val="32"/>
          <w:lang w:val="en-US" w:eastAsia="zh-CN"/>
        </w:rPr>
        <w:t>该项指标得分=当年政府采购实际支付总金额÷（当年政府采购总预算数-当年已完成采购项目节约金额）×100%×3。我委当年政府采购实际支付总金额0.696854万元，当年政府采购项目全部支付完成，该项指标满分3分，我单位该项指标得分3分。</w:t>
      </w:r>
    </w:p>
    <w:p>
      <w:pPr>
        <w:keepNext w:val="0"/>
        <w:keepLines w:val="0"/>
        <w:pageBreakBefore w:val="0"/>
        <w:widowControl/>
        <w:numPr>
          <w:ilvl w:val="0"/>
          <w:numId w:val="3"/>
        </w:numPr>
        <w:kinsoku/>
        <w:wordWrap/>
        <w:overflowPunct/>
        <w:topLinePunct w:val="0"/>
        <w:bidi w:val="0"/>
        <w:adjustRightInd/>
        <w:snapToGrid/>
        <w:spacing w:line="240" w:lineRule="auto"/>
        <w:ind w:left="0" w:leftChars="0" w:firstLine="642" w:firstLineChars="200"/>
        <w:jc w:val="both"/>
        <w:textAlignment w:val="auto"/>
        <w:rPr>
          <w:rFonts w:hint="eastAsia" w:ascii="方正楷体_GBK" w:hAnsi="方正楷体_GBK" w:eastAsia="方正楷体_GBK" w:cs="方正楷体_GBK"/>
          <w:b/>
          <w:bCs/>
          <w:color w:val="000000"/>
          <w:spacing w:val="0"/>
          <w:kern w:val="0"/>
          <w:sz w:val="32"/>
          <w:szCs w:val="32"/>
          <w:shd w:val="clear" w:color="auto" w:fill="FFFFFF"/>
          <w:lang w:val="zh-CN"/>
        </w:rPr>
      </w:pPr>
      <w:r>
        <w:rPr>
          <w:rFonts w:hint="eastAsia" w:ascii="方正楷体_GBK" w:hAnsi="方正楷体_GBK" w:eastAsia="方正楷体_GBK" w:cs="方正楷体_GBK"/>
          <w:b/>
          <w:bCs/>
          <w:color w:val="000000"/>
          <w:spacing w:val="0"/>
          <w:kern w:val="0"/>
          <w:sz w:val="32"/>
          <w:szCs w:val="32"/>
          <w:shd w:val="clear" w:color="auto" w:fill="FFFFFF"/>
          <w:lang w:val="zh-CN"/>
        </w:rPr>
        <w:t>部门预算项目绩效分析</w:t>
      </w:r>
    </w:p>
    <w:p>
      <w:pPr>
        <w:pStyle w:val="22"/>
        <w:keepNext w:val="0"/>
        <w:keepLines w:val="0"/>
        <w:pageBreakBefore w:val="0"/>
        <w:numPr>
          <w:ilvl w:val="0"/>
          <w:numId w:val="0"/>
        </w:numPr>
        <w:kinsoku/>
        <w:wordWrap/>
        <w:overflowPunct/>
        <w:topLinePunct w:val="0"/>
        <w:bidi w:val="0"/>
        <w:adjustRightInd/>
        <w:snapToGrid/>
        <w:spacing w:line="240" w:lineRule="auto"/>
        <w:ind w:left="0" w:leftChars="0" w:firstLine="640" w:firstLineChars="200"/>
        <w:jc w:val="both"/>
        <w:textAlignment w:val="auto"/>
        <w:rPr>
          <w:rFonts w:hint="eastAsia" w:ascii="方正仿宋_GBK" w:hAnsi="方正仿宋_GBK" w:eastAsia="方正仿宋_GBK" w:cs="方正仿宋_GBK"/>
          <w:color w:val="000000"/>
          <w:spacing w:val="0"/>
          <w:kern w:val="0"/>
          <w:sz w:val="32"/>
          <w:szCs w:val="32"/>
        </w:rPr>
      </w:pPr>
      <w:r>
        <w:rPr>
          <w:rFonts w:hint="eastAsia" w:ascii="方正仿宋_GBK" w:hAnsi="方正仿宋_GBK" w:eastAsia="方正仿宋_GBK" w:cs="方正仿宋_GBK"/>
          <w:color w:val="000000"/>
          <w:spacing w:val="0"/>
          <w:kern w:val="0"/>
          <w:sz w:val="32"/>
          <w:szCs w:val="32"/>
        </w:rPr>
        <w:t>按照预算绩效管理要求，我委对</w:t>
      </w:r>
      <w:r>
        <w:rPr>
          <w:rFonts w:hint="default" w:ascii="Times New Roman" w:hAnsi="Times New Roman" w:eastAsia="方正仿宋_GBK" w:cs="Times New Roman"/>
          <w:color w:val="000000"/>
          <w:spacing w:val="0"/>
          <w:kern w:val="0"/>
          <w:sz w:val="32"/>
          <w:szCs w:val="32"/>
        </w:rPr>
        <w:t>202</w:t>
      </w:r>
      <w:r>
        <w:rPr>
          <w:rFonts w:hint="default" w:ascii="Times New Roman" w:hAnsi="Times New Roman" w:eastAsia="方正仿宋_GBK" w:cs="Times New Roman"/>
          <w:color w:val="000000"/>
          <w:spacing w:val="0"/>
          <w:kern w:val="0"/>
          <w:sz w:val="32"/>
          <w:szCs w:val="32"/>
          <w:lang w:val="en-US" w:eastAsia="zh-CN"/>
        </w:rPr>
        <w:t>4</w:t>
      </w:r>
      <w:r>
        <w:rPr>
          <w:rFonts w:hint="eastAsia" w:ascii="方正仿宋_GBK" w:hAnsi="方正仿宋_GBK" w:eastAsia="方正仿宋_GBK" w:cs="方正仿宋_GBK"/>
          <w:color w:val="000000"/>
          <w:spacing w:val="0"/>
          <w:kern w:val="0"/>
          <w:sz w:val="32"/>
          <w:szCs w:val="32"/>
        </w:rPr>
        <w:t>年预算项目支出开展了绩效目标管理，共计</w:t>
      </w:r>
      <w:r>
        <w:rPr>
          <w:rFonts w:hint="eastAsia" w:ascii="Times New Roman" w:hAnsi="Times New Roman" w:eastAsia="方正仿宋_GBK" w:cs="Times New Roman"/>
          <w:color w:val="000000"/>
          <w:spacing w:val="0"/>
          <w:kern w:val="0"/>
          <w:sz w:val="32"/>
          <w:szCs w:val="32"/>
        </w:rPr>
        <w:t>13个项目</w:t>
      </w:r>
      <w:r>
        <w:rPr>
          <w:rFonts w:hint="eastAsia" w:ascii="Times New Roman" w:hAnsi="Times New Roman" w:eastAsia="方正仿宋_GBK" w:cs="Times New Roman"/>
          <w:color w:val="000000"/>
          <w:spacing w:val="0"/>
          <w:kern w:val="0"/>
          <w:sz w:val="32"/>
          <w:szCs w:val="32"/>
          <w:lang w:eastAsia="zh-CN"/>
        </w:rPr>
        <w:t>，全年预算执行</w:t>
      </w:r>
      <w:r>
        <w:rPr>
          <w:rFonts w:hint="eastAsia" w:ascii="Times New Roman" w:hAnsi="Times New Roman" w:eastAsia="方正仿宋_GBK" w:cs="Times New Roman"/>
          <w:color w:val="000000"/>
          <w:spacing w:val="0"/>
          <w:kern w:val="0"/>
          <w:sz w:val="32"/>
          <w:szCs w:val="32"/>
          <w:lang w:val="en-US" w:eastAsia="zh-CN"/>
        </w:rPr>
        <w:t>225</w:t>
      </w:r>
      <w:r>
        <w:rPr>
          <w:rFonts w:hint="eastAsia" w:ascii="Times New Roman" w:hAnsi="Times New Roman" w:eastAsia="方正仿宋_GBK" w:cs="Times New Roman"/>
          <w:color w:val="000000"/>
          <w:spacing w:val="0"/>
          <w:kern w:val="0"/>
          <w:sz w:val="32"/>
          <w:szCs w:val="32"/>
        </w:rPr>
        <w:t>万</w:t>
      </w:r>
      <w:r>
        <w:rPr>
          <w:rFonts w:hint="eastAsia" w:ascii="方正仿宋_GBK" w:hAnsi="方正仿宋_GBK" w:eastAsia="方正仿宋_GBK" w:cs="方正仿宋_GBK"/>
          <w:color w:val="000000"/>
          <w:spacing w:val="0"/>
          <w:kern w:val="0"/>
          <w:sz w:val="32"/>
          <w:szCs w:val="32"/>
        </w:rPr>
        <w:t>元。</w:t>
      </w:r>
    </w:p>
    <w:p>
      <w:pPr>
        <w:pStyle w:val="22"/>
        <w:keepNext w:val="0"/>
        <w:keepLines w:val="0"/>
        <w:pageBreakBefore w:val="0"/>
        <w:numPr>
          <w:ilvl w:val="0"/>
          <w:numId w:val="0"/>
        </w:numPr>
        <w:kinsoku/>
        <w:wordWrap/>
        <w:overflowPunct/>
        <w:topLinePunct w:val="0"/>
        <w:bidi w:val="0"/>
        <w:adjustRightInd/>
        <w:snapToGrid/>
        <w:spacing w:line="240" w:lineRule="auto"/>
        <w:ind w:left="0" w:leftChars="0" w:firstLine="640" w:firstLineChars="200"/>
        <w:jc w:val="both"/>
        <w:textAlignment w:val="auto"/>
        <w:rPr>
          <w:rFonts w:hint="eastAsia" w:ascii="方正仿宋_GBK" w:hAnsi="方正仿宋_GBK" w:eastAsia="方正仿宋_GBK" w:cs="方正仿宋_GBK"/>
          <w:color w:val="000000"/>
          <w:spacing w:val="0"/>
          <w:kern w:val="0"/>
          <w:sz w:val="32"/>
          <w:szCs w:val="32"/>
          <w:lang w:val="zh-CN"/>
        </w:rPr>
      </w:pPr>
      <w:r>
        <w:rPr>
          <w:rFonts w:hint="eastAsia" w:ascii="方正仿宋_GBK" w:hAnsi="方正仿宋_GBK" w:eastAsia="方正仿宋_GBK" w:cs="方正仿宋_GBK"/>
          <w:color w:val="000000"/>
          <w:spacing w:val="0"/>
          <w:kern w:val="0"/>
          <w:sz w:val="32"/>
          <w:szCs w:val="32"/>
          <w:lang w:val="en-US" w:eastAsia="zh-CN"/>
        </w:rPr>
        <w:t>常年项目绩效分析</w:t>
      </w:r>
      <w:r>
        <w:rPr>
          <w:rFonts w:hint="eastAsia" w:ascii="Times New Roman" w:hAnsi="Times New Roman" w:eastAsia="方正仿宋_GBK" w:cs="Times New Roman"/>
          <w:color w:val="000000"/>
          <w:spacing w:val="0"/>
          <w:kern w:val="0"/>
          <w:sz w:val="32"/>
          <w:szCs w:val="32"/>
          <w:lang w:val="en-US" w:eastAsia="zh-CN"/>
        </w:rPr>
        <w:t>。</w:t>
      </w:r>
      <w:r>
        <w:rPr>
          <w:rFonts w:hint="eastAsia" w:ascii="Times New Roman" w:hAnsi="Times New Roman" w:eastAsia="方正仿宋_GBK" w:cs="Times New Roman"/>
          <w:color w:val="000000"/>
          <w:spacing w:val="0"/>
          <w:kern w:val="0"/>
          <w:sz w:val="32"/>
          <w:szCs w:val="32"/>
          <w:lang w:val="zh-CN" w:eastAsia="zh-CN"/>
        </w:rPr>
        <w:t>该类项目总数</w:t>
      </w:r>
      <w:r>
        <w:rPr>
          <w:rFonts w:hint="eastAsia" w:ascii="Times New Roman" w:hAnsi="Times New Roman" w:eastAsia="方正仿宋_GBK" w:cs="Times New Roman"/>
          <w:color w:val="000000"/>
          <w:spacing w:val="0"/>
          <w:kern w:val="0"/>
          <w:sz w:val="32"/>
          <w:szCs w:val="32"/>
          <w:lang w:val="en-US" w:eastAsia="zh-CN"/>
        </w:rPr>
        <w:t>11</w:t>
      </w:r>
      <w:r>
        <w:rPr>
          <w:rFonts w:hint="eastAsia" w:ascii="Times New Roman" w:hAnsi="Times New Roman" w:eastAsia="方正仿宋_GBK" w:cs="Times New Roman"/>
          <w:color w:val="000000"/>
          <w:spacing w:val="0"/>
          <w:kern w:val="0"/>
          <w:sz w:val="32"/>
          <w:szCs w:val="32"/>
          <w:lang w:val="zh-CN" w:eastAsia="zh-CN"/>
        </w:rPr>
        <w:t>个，涉及预算总金额</w:t>
      </w:r>
      <w:r>
        <w:rPr>
          <w:rFonts w:hint="eastAsia" w:ascii="Times New Roman" w:hAnsi="Times New Roman" w:eastAsia="方正仿宋_GBK" w:cs="Times New Roman"/>
          <w:color w:val="000000"/>
          <w:spacing w:val="0"/>
          <w:kern w:val="0"/>
          <w:sz w:val="32"/>
          <w:szCs w:val="32"/>
          <w:lang w:val="en-US" w:eastAsia="zh-CN"/>
        </w:rPr>
        <w:t>220.77</w:t>
      </w:r>
      <w:r>
        <w:rPr>
          <w:rFonts w:hint="eastAsia" w:ascii="Times New Roman" w:hAnsi="Times New Roman" w:eastAsia="方正仿宋_GBK" w:cs="Times New Roman"/>
          <w:color w:val="000000"/>
          <w:spacing w:val="0"/>
          <w:kern w:val="0"/>
          <w:sz w:val="32"/>
          <w:szCs w:val="32"/>
          <w:lang w:val="zh-CN" w:eastAsia="zh-CN"/>
        </w:rPr>
        <w:t>万元，1—1</w:t>
      </w:r>
      <w:r>
        <w:rPr>
          <w:rFonts w:hint="eastAsia" w:ascii="Times New Roman" w:hAnsi="Times New Roman" w:eastAsia="方正仿宋_GBK" w:cs="Times New Roman"/>
          <w:color w:val="000000"/>
          <w:spacing w:val="0"/>
          <w:kern w:val="0"/>
          <w:sz w:val="32"/>
          <w:szCs w:val="32"/>
          <w:lang w:val="en-US" w:eastAsia="zh-CN"/>
        </w:rPr>
        <w:t>2</w:t>
      </w:r>
      <w:r>
        <w:rPr>
          <w:rFonts w:hint="eastAsia" w:ascii="Times New Roman" w:hAnsi="Times New Roman" w:eastAsia="方正仿宋_GBK" w:cs="Times New Roman"/>
          <w:color w:val="000000"/>
          <w:spacing w:val="0"/>
          <w:kern w:val="0"/>
          <w:sz w:val="32"/>
          <w:szCs w:val="32"/>
          <w:lang w:val="zh-CN" w:eastAsia="zh-CN"/>
        </w:rPr>
        <w:t>月预算执行</w:t>
      </w:r>
      <w:r>
        <w:rPr>
          <w:rFonts w:hint="eastAsia" w:ascii="Times New Roman" w:hAnsi="Times New Roman" w:eastAsia="方正仿宋_GBK" w:cs="Times New Roman"/>
          <w:color w:val="000000"/>
          <w:spacing w:val="0"/>
          <w:kern w:val="0"/>
          <w:sz w:val="32"/>
          <w:szCs w:val="32"/>
          <w:lang w:val="en-US" w:eastAsia="zh-CN"/>
        </w:rPr>
        <w:t>180.33万元，</w:t>
      </w:r>
      <w:r>
        <w:rPr>
          <w:rFonts w:hint="eastAsia" w:ascii="Times New Roman" w:hAnsi="Times New Roman" w:eastAsia="方正仿宋_GBK" w:cs="Times New Roman"/>
          <w:color w:val="000000"/>
          <w:spacing w:val="0"/>
          <w:kern w:val="0"/>
          <w:sz w:val="32"/>
          <w:szCs w:val="32"/>
          <w:lang w:val="zh-CN" w:eastAsia="zh-CN"/>
        </w:rPr>
        <w:t>总体执行率为</w:t>
      </w:r>
      <w:r>
        <w:rPr>
          <w:rFonts w:hint="eastAsia" w:ascii="Times New Roman" w:hAnsi="Times New Roman" w:eastAsia="方正仿宋_GBK" w:cs="Times New Roman"/>
          <w:color w:val="000000"/>
          <w:spacing w:val="0"/>
          <w:kern w:val="0"/>
          <w:sz w:val="32"/>
          <w:szCs w:val="32"/>
          <w:lang w:val="en-US" w:eastAsia="zh-CN"/>
        </w:rPr>
        <w:t>81.68</w:t>
      </w:r>
      <w:r>
        <w:rPr>
          <w:rFonts w:hint="eastAsia" w:ascii="Times New Roman" w:hAnsi="Times New Roman" w:eastAsia="方正仿宋_GBK" w:cs="Times New Roman"/>
          <w:color w:val="000000"/>
          <w:spacing w:val="0"/>
          <w:kern w:val="0"/>
          <w:sz w:val="32"/>
          <w:szCs w:val="32"/>
          <w:lang w:val="zh-CN" w:eastAsia="zh-CN"/>
        </w:rPr>
        <w:t>%，其中：预算结余率大于</w:t>
      </w:r>
      <w:r>
        <w:rPr>
          <w:rFonts w:hint="eastAsia" w:ascii="Times New Roman" w:hAnsi="Times New Roman" w:eastAsia="方正仿宋_GBK" w:cs="Times New Roman"/>
          <w:color w:val="000000"/>
          <w:spacing w:val="0"/>
          <w:kern w:val="0"/>
          <w:sz w:val="32"/>
          <w:szCs w:val="32"/>
          <w:lang w:val="en-US" w:eastAsia="zh-CN"/>
        </w:rPr>
        <w:t>10%</w:t>
      </w:r>
      <w:r>
        <w:rPr>
          <w:rFonts w:hint="eastAsia" w:ascii="Times New Roman" w:hAnsi="Times New Roman" w:eastAsia="方正仿宋_GBK" w:cs="Times New Roman"/>
          <w:color w:val="000000"/>
          <w:spacing w:val="0"/>
          <w:kern w:val="0"/>
          <w:sz w:val="32"/>
          <w:szCs w:val="32"/>
          <w:lang w:val="zh-CN" w:eastAsia="zh-CN"/>
        </w:rPr>
        <w:t>的项目共计</w:t>
      </w:r>
      <w:r>
        <w:rPr>
          <w:rFonts w:hint="eastAsia" w:ascii="Times New Roman" w:hAnsi="Times New Roman" w:eastAsia="方正仿宋_GBK" w:cs="Times New Roman"/>
          <w:color w:val="000000"/>
          <w:spacing w:val="0"/>
          <w:kern w:val="0"/>
          <w:sz w:val="32"/>
          <w:szCs w:val="32"/>
          <w:lang w:val="en-US" w:eastAsia="zh-CN"/>
        </w:rPr>
        <w:t>2</w:t>
      </w:r>
      <w:r>
        <w:rPr>
          <w:rFonts w:hint="eastAsia" w:ascii="Times New Roman" w:hAnsi="Times New Roman" w:eastAsia="方正仿宋_GBK" w:cs="Times New Roman"/>
          <w:color w:val="000000"/>
          <w:spacing w:val="0"/>
          <w:kern w:val="0"/>
          <w:sz w:val="32"/>
          <w:szCs w:val="32"/>
          <w:lang w:val="zh-CN" w:eastAsia="zh-CN"/>
        </w:rPr>
        <w:t>个</w:t>
      </w:r>
      <w:r>
        <w:rPr>
          <w:rFonts w:hint="eastAsia" w:ascii="方正仿宋_GBK" w:hAnsi="方正仿宋_GBK" w:eastAsia="方正仿宋_GBK" w:cs="方正仿宋_GBK"/>
          <w:color w:val="000000"/>
          <w:spacing w:val="0"/>
          <w:kern w:val="0"/>
          <w:sz w:val="32"/>
          <w:szCs w:val="32"/>
          <w:lang w:val="zh-CN" w:eastAsia="zh-CN"/>
        </w:rPr>
        <w:t>。</w:t>
      </w:r>
    </w:p>
    <w:p>
      <w:pPr>
        <w:pStyle w:val="22"/>
        <w:keepNext w:val="0"/>
        <w:keepLines w:val="0"/>
        <w:pageBreakBefore w:val="0"/>
        <w:numPr>
          <w:ilvl w:val="0"/>
          <w:numId w:val="0"/>
        </w:numPr>
        <w:kinsoku/>
        <w:wordWrap/>
        <w:overflowPunct/>
        <w:topLinePunct w:val="0"/>
        <w:bidi w:val="0"/>
        <w:adjustRightInd/>
        <w:snapToGrid/>
        <w:spacing w:line="240" w:lineRule="auto"/>
        <w:ind w:left="0" w:leftChars="0" w:firstLine="640" w:firstLineChars="200"/>
        <w:jc w:val="both"/>
        <w:textAlignment w:val="auto"/>
        <w:rPr>
          <w:rFonts w:hint="eastAsia" w:ascii="方正仿宋_GBK" w:hAnsi="方正仿宋_GBK" w:eastAsia="方正仿宋_GBK" w:cs="方正仿宋_GBK"/>
          <w:color w:val="000000"/>
          <w:spacing w:val="0"/>
          <w:kern w:val="0"/>
          <w:sz w:val="32"/>
          <w:szCs w:val="32"/>
        </w:rPr>
      </w:pPr>
      <w:r>
        <w:rPr>
          <w:rFonts w:hint="eastAsia" w:ascii="方正仿宋_GBK" w:hAnsi="方正仿宋_GBK" w:eastAsia="方正仿宋_GBK" w:cs="方正仿宋_GBK"/>
          <w:color w:val="000000"/>
          <w:spacing w:val="0"/>
          <w:kern w:val="0"/>
          <w:sz w:val="32"/>
          <w:szCs w:val="32"/>
          <w:lang w:val="en-US" w:eastAsia="zh-CN"/>
        </w:rPr>
        <w:t>阶段（含一次性）项目绩效分析。</w:t>
      </w:r>
      <w:r>
        <w:rPr>
          <w:rFonts w:hint="eastAsia" w:ascii="方正仿宋_GBK" w:hAnsi="方正仿宋_GBK" w:eastAsia="方正仿宋_GBK" w:cs="方正仿宋_GBK"/>
          <w:color w:val="000000"/>
          <w:spacing w:val="0"/>
          <w:kern w:val="0"/>
          <w:sz w:val="32"/>
          <w:szCs w:val="32"/>
          <w:lang w:val="zh-CN" w:eastAsia="zh-CN"/>
        </w:rPr>
        <w:t>该类项目总</w:t>
      </w:r>
      <w:r>
        <w:rPr>
          <w:rFonts w:hint="eastAsia" w:ascii="Times New Roman" w:hAnsi="Times New Roman" w:eastAsia="方正仿宋_GBK" w:cs="Times New Roman"/>
          <w:color w:val="000000"/>
          <w:spacing w:val="0"/>
          <w:kern w:val="0"/>
          <w:sz w:val="32"/>
          <w:szCs w:val="32"/>
          <w:lang w:val="zh-CN" w:eastAsia="zh-CN"/>
        </w:rPr>
        <w:t>数</w:t>
      </w:r>
      <w:r>
        <w:rPr>
          <w:rFonts w:hint="eastAsia" w:ascii="Times New Roman" w:hAnsi="Times New Roman" w:eastAsia="方正仿宋_GBK" w:cs="Times New Roman"/>
          <w:color w:val="000000"/>
          <w:spacing w:val="0"/>
          <w:kern w:val="0"/>
          <w:sz w:val="32"/>
          <w:szCs w:val="32"/>
          <w:lang w:val="en-US" w:eastAsia="zh-CN"/>
        </w:rPr>
        <w:t>2</w:t>
      </w:r>
      <w:r>
        <w:rPr>
          <w:rFonts w:hint="eastAsia" w:ascii="Times New Roman" w:hAnsi="Times New Roman" w:eastAsia="方正仿宋_GBK" w:cs="Times New Roman"/>
          <w:color w:val="000000"/>
          <w:spacing w:val="0"/>
          <w:kern w:val="0"/>
          <w:sz w:val="32"/>
          <w:szCs w:val="32"/>
          <w:lang w:val="zh-CN" w:eastAsia="zh-CN"/>
        </w:rPr>
        <w:t>个，涉及预算总金额</w:t>
      </w:r>
      <w:r>
        <w:rPr>
          <w:rFonts w:hint="eastAsia" w:ascii="Times New Roman" w:hAnsi="Times New Roman" w:eastAsia="方正仿宋_GBK" w:cs="Times New Roman"/>
          <w:color w:val="000000"/>
          <w:spacing w:val="0"/>
          <w:kern w:val="0"/>
          <w:sz w:val="32"/>
          <w:szCs w:val="32"/>
          <w:lang w:val="en-US" w:eastAsia="zh-CN"/>
        </w:rPr>
        <w:t>68.69</w:t>
      </w:r>
      <w:r>
        <w:rPr>
          <w:rFonts w:hint="eastAsia" w:ascii="Times New Roman" w:hAnsi="Times New Roman" w:eastAsia="方正仿宋_GBK" w:cs="Times New Roman"/>
          <w:color w:val="000000"/>
          <w:spacing w:val="0"/>
          <w:kern w:val="0"/>
          <w:sz w:val="32"/>
          <w:szCs w:val="32"/>
          <w:lang w:val="zh-CN" w:eastAsia="zh-CN"/>
        </w:rPr>
        <w:t>万元，1—1</w:t>
      </w:r>
      <w:r>
        <w:rPr>
          <w:rFonts w:hint="eastAsia" w:ascii="Times New Roman" w:hAnsi="Times New Roman" w:eastAsia="方正仿宋_GBK" w:cs="Times New Roman"/>
          <w:color w:val="000000"/>
          <w:spacing w:val="0"/>
          <w:kern w:val="0"/>
          <w:sz w:val="32"/>
          <w:szCs w:val="32"/>
          <w:lang w:val="en-US" w:eastAsia="zh-CN"/>
        </w:rPr>
        <w:t>2</w:t>
      </w:r>
      <w:r>
        <w:rPr>
          <w:rFonts w:hint="eastAsia" w:ascii="Times New Roman" w:hAnsi="Times New Roman" w:eastAsia="方正仿宋_GBK" w:cs="Times New Roman"/>
          <w:color w:val="000000"/>
          <w:spacing w:val="0"/>
          <w:kern w:val="0"/>
          <w:sz w:val="32"/>
          <w:szCs w:val="32"/>
          <w:lang w:val="zh-CN" w:eastAsia="zh-CN"/>
        </w:rPr>
        <w:t>月预算执行</w:t>
      </w:r>
      <w:r>
        <w:rPr>
          <w:rFonts w:hint="eastAsia" w:ascii="Times New Roman" w:hAnsi="Times New Roman" w:eastAsia="方正仿宋_GBK" w:cs="Times New Roman"/>
          <w:color w:val="000000"/>
          <w:spacing w:val="0"/>
          <w:kern w:val="0"/>
          <w:sz w:val="32"/>
          <w:szCs w:val="32"/>
          <w:lang w:val="en-US" w:eastAsia="zh-CN"/>
        </w:rPr>
        <w:t>68.58万元，</w:t>
      </w:r>
      <w:r>
        <w:rPr>
          <w:rFonts w:hint="eastAsia" w:ascii="Times New Roman" w:hAnsi="Times New Roman" w:eastAsia="方正仿宋_GBK" w:cs="Times New Roman"/>
          <w:color w:val="000000"/>
          <w:spacing w:val="0"/>
          <w:kern w:val="0"/>
          <w:sz w:val="32"/>
          <w:szCs w:val="32"/>
          <w:lang w:val="zh-CN" w:eastAsia="zh-CN"/>
        </w:rPr>
        <w:t>总体执行率为</w:t>
      </w:r>
      <w:r>
        <w:rPr>
          <w:rFonts w:hint="eastAsia" w:ascii="Times New Roman" w:hAnsi="Times New Roman" w:eastAsia="方正仿宋_GBK" w:cs="Times New Roman"/>
          <w:color w:val="000000"/>
          <w:spacing w:val="0"/>
          <w:kern w:val="0"/>
          <w:sz w:val="32"/>
          <w:szCs w:val="32"/>
          <w:lang w:val="en-US" w:eastAsia="zh-CN"/>
        </w:rPr>
        <w:t>99.84</w:t>
      </w:r>
      <w:r>
        <w:rPr>
          <w:rFonts w:hint="eastAsia" w:ascii="Times New Roman" w:hAnsi="Times New Roman" w:eastAsia="方正仿宋_GBK" w:cs="Times New Roman"/>
          <w:color w:val="000000"/>
          <w:spacing w:val="0"/>
          <w:kern w:val="0"/>
          <w:sz w:val="32"/>
          <w:szCs w:val="32"/>
          <w:lang w:val="zh-CN" w:eastAsia="zh-CN"/>
        </w:rPr>
        <w:t>%，其中：预算结余率大于</w:t>
      </w:r>
      <w:r>
        <w:rPr>
          <w:rFonts w:hint="eastAsia" w:ascii="Times New Roman" w:hAnsi="Times New Roman" w:eastAsia="方正仿宋_GBK" w:cs="Times New Roman"/>
          <w:color w:val="000000"/>
          <w:spacing w:val="0"/>
          <w:kern w:val="0"/>
          <w:sz w:val="32"/>
          <w:szCs w:val="32"/>
          <w:lang w:val="en-US" w:eastAsia="zh-CN"/>
        </w:rPr>
        <w:t>10%</w:t>
      </w:r>
      <w:r>
        <w:rPr>
          <w:rFonts w:hint="eastAsia" w:ascii="Times New Roman" w:hAnsi="Times New Roman" w:eastAsia="方正仿宋_GBK" w:cs="Times New Roman"/>
          <w:color w:val="000000"/>
          <w:spacing w:val="0"/>
          <w:kern w:val="0"/>
          <w:sz w:val="32"/>
          <w:szCs w:val="32"/>
          <w:lang w:val="zh-CN" w:eastAsia="zh-CN"/>
        </w:rPr>
        <w:t>的项目共计</w:t>
      </w:r>
      <w:r>
        <w:rPr>
          <w:rFonts w:hint="eastAsia" w:ascii="Times New Roman" w:hAnsi="Times New Roman" w:eastAsia="方正仿宋_GBK" w:cs="Times New Roman"/>
          <w:color w:val="000000"/>
          <w:spacing w:val="0"/>
          <w:kern w:val="0"/>
          <w:sz w:val="32"/>
          <w:szCs w:val="32"/>
          <w:lang w:val="en-US" w:eastAsia="zh-CN"/>
        </w:rPr>
        <w:t>1</w:t>
      </w:r>
      <w:r>
        <w:rPr>
          <w:rFonts w:hint="eastAsia" w:ascii="方正仿宋_GBK" w:hAnsi="方正仿宋_GBK" w:eastAsia="方正仿宋_GBK" w:cs="方正仿宋_GBK"/>
          <w:color w:val="000000"/>
          <w:spacing w:val="0"/>
          <w:kern w:val="0"/>
          <w:sz w:val="32"/>
          <w:szCs w:val="32"/>
          <w:lang w:val="zh-CN" w:eastAsia="zh-CN"/>
        </w:rPr>
        <w:t>个。</w:t>
      </w:r>
    </w:p>
    <w:p>
      <w:pPr>
        <w:pStyle w:val="22"/>
        <w:keepNext w:val="0"/>
        <w:keepLines w:val="0"/>
        <w:pageBreakBefore w:val="0"/>
        <w:numPr>
          <w:ilvl w:val="0"/>
          <w:numId w:val="0"/>
        </w:numPr>
        <w:kinsoku/>
        <w:wordWrap/>
        <w:overflowPunct/>
        <w:topLinePunct w:val="0"/>
        <w:bidi w:val="0"/>
        <w:adjustRightInd/>
        <w:snapToGrid/>
        <w:spacing w:line="240" w:lineRule="auto"/>
        <w:ind w:left="0" w:leftChars="0" w:firstLine="640" w:firstLineChars="200"/>
        <w:jc w:val="both"/>
        <w:textAlignment w:val="auto"/>
        <w:rPr>
          <w:rFonts w:hint="eastAsia" w:ascii="方正仿宋_GBK" w:hAnsi="方正仿宋_GBK" w:eastAsia="方正仿宋_GBK" w:cs="方正仿宋_GBK"/>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1</w:t>
      </w:r>
      <w:r>
        <w:rPr>
          <w:rFonts w:hint="eastAsia" w:ascii="方正仿宋_GBK" w:hAnsi="方正仿宋_GBK" w:eastAsia="方正仿宋_GBK" w:cs="方正仿宋_GBK"/>
          <w:color w:val="auto"/>
          <w:kern w:val="2"/>
          <w:sz w:val="32"/>
          <w:szCs w:val="32"/>
          <w:lang w:val="en-US" w:eastAsia="zh-CN" w:bidi="ar-SA"/>
        </w:rPr>
        <w:t>.项目决策</w:t>
      </w:r>
    </w:p>
    <w:p>
      <w:pPr>
        <w:pStyle w:val="22"/>
        <w:keepNext w:val="0"/>
        <w:keepLines w:val="0"/>
        <w:pageBreakBefore w:val="0"/>
        <w:numPr>
          <w:ilvl w:val="0"/>
          <w:numId w:val="0"/>
        </w:numPr>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（1）决策程序</w:t>
      </w:r>
    </w:p>
    <w:p>
      <w:pPr>
        <w:pStyle w:val="22"/>
        <w:keepNext w:val="0"/>
        <w:keepLines w:val="0"/>
        <w:pageBreakBefore w:val="0"/>
        <w:numPr>
          <w:ilvl w:val="0"/>
          <w:numId w:val="0"/>
        </w:numPr>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该项指标得分=4-部门未履行事前评估程序的部门预算阶段项目（含一次性项目）数量÷部门预算阶段项目（含一次性项目）总数×100%×4。我委无未履行事前评估程序的部门预算阶段项目，该项指标满分4分，我单位该项指标得分4分。</w:t>
      </w:r>
    </w:p>
    <w:p>
      <w:pPr>
        <w:pStyle w:val="22"/>
        <w:keepNext w:val="0"/>
        <w:keepLines w:val="0"/>
        <w:pageBreakBefore w:val="0"/>
        <w:numPr>
          <w:ilvl w:val="0"/>
          <w:numId w:val="0"/>
        </w:numPr>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（2）目标设置</w:t>
      </w:r>
    </w:p>
    <w:p>
      <w:pPr>
        <w:pStyle w:val="22"/>
        <w:keepNext w:val="0"/>
        <w:keepLines w:val="0"/>
        <w:pageBreakBefore w:val="0"/>
        <w:numPr>
          <w:ilvl w:val="0"/>
          <w:numId w:val="0"/>
        </w:numPr>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该项指标得分=4-绩效目标与计划期内的任务量、预算安排不相匹配的部门预算阶段项目（含一次性项目）数量÷部门预算阶段项目（含一次性项目）总数×100%×4。绩效目标与计划期内的任务量、预算安排不相匹配的部门预算阶段项目有2个，主要是省级专项资金2个，该项指标满分4分，我单位该项指标得分3.38分。</w:t>
      </w:r>
    </w:p>
    <w:p>
      <w:pPr>
        <w:pStyle w:val="22"/>
        <w:keepNext w:val="0"/>
        <w:keepLines w:val="0"/>
        <w:pageBreakBefore w:val="0"/>
        <w:numPr>
          <w:ilvl w:val="0"/>
          <w:numId w:val="0"/>
        </w:numPr>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（3）项目入库</w:t>
      </w:r>
    </w:p>
    <w:p>
      <w:pPr>
        <w:pStyle w:val="22"/>
        <w:keepNext w:val="0"/>
        <w:keepLines w:val="0"/>
        <w:pageBreakBefore w:val="0"/>
        <w:numPr>
          <w:ilvl w:val="0"/>
          <w:numId w:val="0"/>
        </w:numPr>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000000"/>
          <w:spacing w:val="0"/>
          <w:sz w:val="32"/>
          <w:szCs w:val="32"/>
          <w:lang w:val="en-US" w:eastAsia="zh-CN"/>
        </w:rPr>
      </w:pPr>
      <w:r>
        <w:rPr>
          <w:rFonts w:hint="eastAsia" w:ascii="Times New Roman" w:hAnsi="Times New Roman" w:eastAsia="方正仿宋_GBK" w:cs="Times New Roman"/>
          <w:color w:val="auto"/>
          <w:kern w:val="2"/>
          <w:sz w:val="32"/>
          <w:szCs w:val="32"/>
          <w:lang w:val="en-US" w:eastAsia="zh-CN" w:bidi="ar-SA"/>
        </w:rPr>
        <w:t>该项指标得分=4-规定时间未入财政库部门预算阶段项目（含一次性项目）数量÷最终安排部门预算阶段项目（含一次性项目）总数×100%×4。规定时间以当年9月30日为准。该项指标满分4分，我单位该项指标得分4分。</w:t>
      </w:r>
    </w:p>
    <w:p>
      <w:pPr>
        <w:pStyle w:val="22"/>
        <w:keepNext w:val="0"/>
        <w:keepLines w:val="0"/>
        <w:pageBreakBefore w:val="0"/>
        <w:numPr>
          <w:ilvl w:val="0"/>
          <w:numId w:val="0"/>
        </w:numPr>
        <w:kinsoku/>
        <w:wordWrap/>
        <w:overflowPunct/>
        <w:topLinePunct w:val="0"/>
        <w:bidi w:val="0"/>
        <w:adjustRightInd/>
        <w:snapToGrid/>
        <w:spacing w:line="240" w:lineRule="auto"/>
        <w:ind w:left="0" w:leftChars="0" w:firstLine="640" w:firstLineChars="200"/>
        <w:jc w:val="both"/>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2.</w:t>
      </w:r>
      <w:r>
        <w:rPr>
          <w:rFonts w:hint="eastAsia" w:ascii="方正仿宋_GBK" w:hAnsi="方正仿宋_GBK" w:eastAsia="方正仿宋_GBK" w:cs="方正仿宋_GBK"/>
          <w:color w:val="auto"/>
          <w:kern w:val="2"/>
          <w:sz w:val="32"/>
          <w:szCs w:val="32"/>
          <w:lang w:val="en-US" w:eastAsia="zh-CN" w:bidi="ar-SA"/>
        </w:rPr>
        <w:t>项目执行</w:t>
      </w:r>
    </w:p>
    <w:p>
      <w:pPr>
        <w:pStyle w:val="22"/>
        <w:keepNext w:val="0"/>
        <w:keepLines w:val="0"/>
        <w:pageBreakBefore w:val="0"/>
        <w:numPr>
          <w:ilvl w:val="0"/>
          <w:numId w:val="0"/>
        </w:numPr>
        <w:kinsoku/>
        <w:wordWrap/>
        <w:overflowPunct/>
        <w:topLinePunct w:val="0"/>
        <w:bidi w:val="0"/>
        <w:adjustRightInd/>
        <w:snapToGrid/>
        <w:spacing w:line="240" w:lineRule="auto"/>
        <w:ind w:left="0" w:leftChars="0" w:firstLine="640" w:firstLineChars="200"/>
        <w:jc w:val="both"/>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1</w:t>
      </w:r>
      <w:r>
        <w:rPr>
          <w:rFonts w:hint="eastAsia" w:ascii="方正仿宋_GBK" w:hAnsi="方正仿宋_GBK" w:eastAsia="方正仿宋_GBK" w:cs="方正仿宋_GBK"/>
          <w:color w:val="auto"/>
          <w:kern w:val="2"/>
          <w:sz w:val="32"/>
          <w:szCs w:val="32"/>
          <w:lang w:val="en-US" w:eastAsia="zh-CN" w:bidi="ar-SA"/>
        </w:rPr>
        <w:t>）执行同向</w:t>
      </w:r>
    </w:p>
    <w:p>
      <w:pPr>
        <w:pStyle w:val="22"/>
        <w:keepNext w:val="0"/>
        <w:keepLines w:val="0"/>
        <w:pageBreakBefore w:val="0"/>
        <w:numPr>
          <w:ilvl w:val="0"/>
          <w:numId w:val="0"/>
        </w:numPr>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方正仿宋_GBK" w:hAnsi="方正仿宋_GBK" w:eastAsia="方正仿宋_GBK" w:cs="方正仿宋_GBK"/>
          <w:color w:val="000000"/>
          <w:spacing w:val="0"/>
          <w:kern w:val="0"/>
          <w:sz w:val="32"/>
          <w:szCs w:val="32"/>
        </w:rPr>
        <w:t>该项指标得</w:t>
      </w:r>
      <w:r>
        <w:rPr>
          <w:rFonts w:hint="eastAsia" w:ascii="Times New Roman" w:hAnsi="Times New Roman" w:eastAsia="方正仿宋_GBK" w:cs="Times New Roman"/>
          <w:color w:val="auto"/>
          <w:kern w:val="2"/>
          <w:sz w:val="32"/>
          <w:szCs w:val="32"/>
          <w:lang w:val="en-US" w:eastAsia="zh-CN" w:bidi="ar-SA"/>
        </w:rPr>
        <w:t>分=4-实际列支内容与绩效目标设置方向不相符的部门预算阶段项目（含一次性项目）数量÷部门预算阶段项目（含一次性项目）总数×100%×4。该项指标满分4分，我单位该项指标得分4分。</w:t>
      </w:r>
    </w:p>
    <w:p>
      <w:pPr>
        <w:pStyle w:val="22"/>
        <w:keepNext w:val="0"/>
        <w:keepLines w:val="0"/>
        <w:pageBreakBefore w:val="0"/>
        <w:numPr>
          <w:ilvl w:val="0"/>
          <w:numId w:val="0"/>
        </w:numPr>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（2）项目调整</w:t>
      </w:r>
    </w:p>
    <w:p>
      <w:pPr>
        <w:pStyle w:val="22"/>
        <w:keepNext w:val="0"/>
        <w:keepLines w:val="0"/>
        <w:pageBreakBefore w:val="0"/>
        <w:numPr>
          <w:ilvl w:val="0"/>
          <w:numId w:val="0"/>
        </w:numPr>
        <w:kinsoku/>
        <w:wordWrap/>
        <w:overflowPunct/>
        <w:topLinePunct w:val="0"/>
        <w:bidi w:val="0"/>
        <w:adjustRightInd/>
        <w:snapToGrid/>
        <w:spacing w:line="240" w:lineRule="auto"/>
        <w:ind w:left="0" w:leftChars="0" w:firstLine="640" w:firstLineChars="200"/>
        <w:jc w:val="both"/>
        <w:textAlignment w:val="auto"/>
        <w:rPr>
          <w:rFonts w:hint="eastAsia"/>
        </w:rPr>
      </w:pPr>
      <w:r>
        <w:rPr>
          <w:rFonts w:hint="eastAsia" w:ascii="Times New Roman" w:hAnsi="Times New Roman" w:eastAsia="方正仿宋_GBK" w:cs="Times New Roman"/>
          <w:color w:val="auto"/>
          <w:kern w:val="2"/>
          <w:sz w:val="32"/>
          <w:szCs w:val="32"/>
          <w:lang w:val="en-US" w:eastAsia="zh-CN" w:bidi="ar-SA"/>
        </w:rPr>
        <w:t>该项指标得分=4-应采取未采取收回预算、调整目标等处置措施的部门预算阶段项目（含一次性项目）数量÷应采取收回预算、调整目标等处置措施的部门预算阶段项目（含一次性项目）总数×100%×4。该项指标满分4分，我单位该项指标得分4分。</w:t>
      </w:r>
    </w:p>
    <w:p>
      <w:pPr>
        <w:pStyle w:val="22"/>
        <w:keepNext w:val="0"/>
        <w:keepLines w:val="0"/>
        <w:pageBreakBefore w:val="0"/>
        <w:numPr>
          <w:ilvl w:val="0"/>
          <w:numId w:val="0"/>
        </w:numPr>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（3）执行结果</w:t>
      </w:r>
    </w:p>
    <w:p>
      <w:pPr>
        <w:pStyle w:val="22"/>
        <w:keepNext w:val="0"/>
        <w:keepLines w:val="0"/>
        <w:pageBreakBefore w:val="0"/>
        <w:numPr>
          <w:ilvl w:val="0"/>
          <w:numId w:val="0"/>
        </w:numPr>
        <w:kinsoku/>
        <w:wordWrap/>
        <w:overflowPunct/>
        <w:topLinePunct w:val="0"/>
        <w:bidi w:val="0"/>
        <w:adjustRightInd/>
        <w:snapToGrid/>
        <w:spacing w:line="240" w:lineRule="auto"/>
        <w:ind w:left="0" w:leftChars="0" w:firstLine="640" w:firstLineChars="200"/>
        <w:jc w:val="both"/>
        <w:textAlignment w:val="auto"/>
        <w:rPr>
          <w:rFonts w:hint="eastAsia"/>
        </w:rPr>
      </w:pPr>
      <w:r>
        <w:rPr>
          <w:rFonts w:hint="eastAsia" w:ascii="Times New Roman" w:hAnsi="Times New Roman" w:eastAsia="方正仿宋_GBK" w:cs="Times New Roman"/>
          <w:color w:val="auto"/>
          <w:kern w:val="2"/>
          <w:sz w:val="32"/>
          <w:szCs w:val="32"/>
          <w:lang w:val="en-US" w:eastAsia="zh-CN" w:bidi="ar-SA"/>
        </w:rPr>
        <w:t>该项指标得分=预算结余率小于10%的常年项目数量÷部门预算常年项目总数×100%×2+预算结余率小于10%的一次性项目和阶段项目数量÷部门预算一次性项目和阶段项目总数×100%×2。我委预算结余率小于10%的常年项目数量为9个，部门预算常年项目总数11个，预算结余率小于10%的一次性项目和阶段项目数量为2个，部门预算一次性项目和阶段项目总数为2个，该项指标满分4分，我单位该项指标得分3.64分。</w:t>
      </w:r>
    </w:p>
    <w:p>
      <w:pPr>
        <w:pStyle w:val="22"/>
        <w:keepNext w:val="0"/>
        <w:keepLines w:val="0"/>
        <w:pageBreakBefore w:val="0"/>
        <w:numPr>
          <w:ilvl w:val="0"/>
          <w:numId w:val="0"/>
        </w:numPr>
        <w:kinsoku/>
        <w:wordWrap/>
        <w:overflowPunct/>
        <w:topLinePunct w:val="0"/>
        <w:bidi w:val="0"/>
        <w:adjustRightInd/>
        <w:snapToGrid/>
        <w:spacing w:line="240" w:lineRule="auto"/>
        <w:ind w:left="0" w:leftChars="0" w:firstLine="640" w:firstLineChars="200"/>
        <w:jc w:val="both"/>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3.</w:t>
      </w:r>
      <w:r>
        <w:rPr>
          <w:rFonts w:hint="eastAsia" w:ascii="方正仿宋_GBK" w:hAnsi="方正仿宋_GBK" w:eastAsia="方正仿宋_GBK" w:cs="方正仿宋_GBK"/>
          <w:color w:val="auto"/>
          <w:kern w:val="2"/>
          <w:sz w:val="32"/>
          <w:szCs w:val="32"/>
          <w:lang w:val="en-US" w:eastAsia="zh-CN" w:bidi="ar-SA"/>
        </w:rPr>
        <w:t>目标实现</w:t>
      </w:r>
    </w:p>
    <w:p>
      <w:pPr>
        <w:pStyle w:val="22"/>
        <w:keepNext w:val="0"/>
        <w:keepLines w:val="0"/>
        <w:pageBreakBefore w:val="0"/>
        <w:numPr>
          <w:ilvl w:val="0"/>
          <w:numId w:val="0"/>
        </w:numPr>
        <w:kinsoku/>
        <w:wordWrap/>
        <w:overflowPunct/>
        <w:topLinePunct w:val="0"/>
        <w:bidi w:val="0"/>
        <w:adjustRightInd/>
        <w:snapToGrid/>
        <w:spacing w:line="240" w:lineRule="auto"/>
        <w:ind w:left="0" w:leftChars="0" w:firstLine="640" w:firstLineChars="200"/>
        <w:jc w:val="both"/>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1</w:t>
      </w:r>
      <w:r>
        <w:rPr>
          <w:rFonts w:hint="eastAsia" w:ascii="方正仿宋_GBK" w:hAnsi="方正仿宋_GBK" w:eastAsia="方正仿宋_GBK" w:cs="方正仿宋_GBK"/>
          <w:color w:val="auto"/>
          <w:kern w:val="2"/>
          <w:sz w:val="32"/>
          <w:szCs w:val="32"/>
          <w:lang w:val="en-US" w:eastAsia="zh-CN" w:bidi="ar-SA"/>
        </w:rPr>
        <w:t>）目标完成</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该项指标得分=完成绩效目标数量指标的部门预算阶段项目（含一次性项目）数量÷部门预算阶段项目（含一次性项目）总数×100%×4。我委完成绩效目标数量指标的部门预算阶段项目（含一次性项目）有11个，部门预算阶段项目（含一次性项目）总数13个，未完成绩效目标的项目主要是省级项目，该项指标满分4分，我单位该项指标得分3.38分。</w:t>
      </w:r>
    </w:p>
    <w:p>
      <w:pPr>
        <w:pStyle w:val="22"/>
        <w:keepNext w:val="0"/>
        <w:keepLines w:val="0"/>
        <w:pageBreakBefore w:val="0"/>
        <w:numPr>
          <w:ilvl w:val="0"/>
          <w:numId w:val="0"/>
        </w:numPr>
        <w:kinsoku/>
        <w:wordWrap/>
        <w:overflowPunct/>
        <w:topLinePunct w:val="0"/>
        <w:bidi w:val="0"/>
        <w:adjustRightInd/>
        <w:snapToGrid/>
        <w:spacing w:line="240" w:lineRule="auto"/>
        <w:ind w:left="0" w:leftChars="0" w:firstLine="640" w:firstLineChars="200"/>
        <w:jc w:val="both"/>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2</w:t>
      </w:r>
      <w:r>
        <w:rPr>
          <w:rFonts w:hint="eastAsia" w:ascii="方正仿宋_GBK" w:hAnsi="方正仿宋_GBK" w:eastAsia="方正仿宋_GBK" w:cs="方正仿宋_GBK"/>
          <w:color w:val="auto"/>
          <w:kern w:val="2"/>
          <w:sz w:val="32"/>
          <w:szCs w:val="32"/>
          <w:lang w:val="en-US" w:eastAsia="zh-CN" w:bidi="ar-SA"/>
        </w:rPr>
        <w:t>）目标偏离</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该项指标得分=已完成预期指标值的数量指标中偏离度在30%内的指标个数÷已完成预期指标值的数量指标个数×100%×4。我委已完成预期指标值的数量指标中偏离度在30%内的指标个数27个，部门预算阶段项目（含一次性项目）总数28个，未完成预期指标值中数量指标的项目是2024年民族事业发展专项资金，该项指标满分4分，我单位该项指标得分3.86分。</w:t>
      </w:r>
    </w:p>
    <w:p>
      <w:pPr>
        <w:pStyle w:val="22"/>
        <w:keepNext w:val="0"/>
        <w:keepLines w:val="0"/>
        <w:pageBreakBefore w:val="0"/>
        <w:numPr>
          <w:ilvl w:val="0"/>
          <w:numId w:val="0"/>
        </w:numPr>
        <w:kinsoku/>
        <w:wordWrap/>
        <w:overflowPunct/>
        <w:topLinePunct w:val="0"/>
        <w:bidi w:val="0"/>
        <w:adjustRightInd/>
        <w:snapToGrid/>
        <w:spacing w:line="240" w:lineRule="auto"/>
        <w:ind w:left="0" w:leftChars="0" w:firstLine="640" w:firstLineChars="200"/>
        <w:jc w:val="both"/>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3</w:t>
      </w:r>
      <w:r>
        <w:rPr>
          <w:rFonts w:hint="eastAsia" w:ascii="方正仿宋_GBK" w:hAnsi="方正仿宋_GBK" w:eastAsia="方正仿宋_GBK" w:cs="方正仿宋_GBK"/>
          <w:color w:val="auto"/>
          <w:kern w:val="2"/>
          <w:sz w:val="32"/>
          <w:szCs w:val="32"/>
          <w:lang w:val="en-US" w:eastAsia="zh-CN" w:bidi="ar-SA"/>
        </w:rPr>
        <w:t>）实现效果</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该项指标得分=完成绩效目标效益指标的部门预算阶段项目（含一次性项目）数量÷部门预算阶段项目（含一次性项目）总数×100%×3。该项指标满分3分，我单位该项指标得分3分。</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方正仿宋_GBK" w:hAnsi="方正仿宋_GBK" w:eastAsia="方正仿宋_GBK" w:cs="方正仿宋_GBK"/>
          <w:color w:val="000000"/>
          <w:spacing w:val="0"/>
          <w:sz w:val="32"/>
          <w:szCs w:val="32"/>
        </w:rPr>
      </w:pPr>
      <w:bookmarkStart w:id="90" w:name="_Hlk163331586"/>
      <w:r>
        <w:rPr>
          <w:rFonts w:hint="eastAsia" w:ascii="方正仿宋_GBK" w:hAnsi="方正仿宋_GBK" w:eastAsia="方正仿宋_GBK" w:cs="方正仿宋_GBK"/>
          <w:color w:val="000000"/>
          <w:spacing w:val="0"/>
          <w:sz w:val="32"/>
          <w:szCs w:val="32"/>
        </w:rPr>
        <w:t>项目支出具体项目为：</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方正仿宋_GBK" w:hAnsi="方正仿宋_GBK" w:eastAsia="方正仿宋_GBK" w:cs="方正仿宋_GBK"/>
          <w:color w:val="000000"/>
          <w:spacing w:val="0"/>
          <w:sz w:val="32"/>
          <w:szCs w:val="32"/>
        </w:rPr>
        <w:t>一是</w:t>
      </w:r>
      <w:bookmarkEnd w:id="90"/>
      <w:r>
        <w:rPr>
          <w:rFonts w:hint="eastAsia" w:ascii="方正仿宋_GBK" w:hAnsi="方正仿宋_GBK" w:eastAsia="方正仿宋_GBK" w:cs="方正仿宋_GBK"/>
          <w:color w:val="000000"/>
          <w:spacing w:val="0"/>
          <w:sz w:val="32"/>
          <w:szCs w:val="32"/>
        </w:rPr>
        <w:t>民族团结进步表彰奖励</w:t>
      </w:r>
      <w:r>
        <w:rPr>
          <w:rFonts w:hint="eastAsia" w:ascii="方正仿宋_GBK" w:hAnsi="方正仿宋_GBK" w:eastAsia="方正仿宋_GBK" w:cs="方正仿宋_GBK"/>
          <w:color w:val="000000"/>
          <w:spacing w:val="0"/>
          <w:sz w:val="32"/>
          <w:szCs w:val="32"/>
          <w:lang w:eastAsia="zh-CN"/>
        </w:rPr>
        <w:t>经费</w:t>
      </w:r>
      <w:r>
        <w:rPr>
          <w:rFonts w:hint="eastAsia" w:ascii="Times New Roman" w:hAnsi="Times New Roman" w:eastAsia="方正仿宋_GBK" w:cs="Times New Roman"/>
          <w:color w:val="auto"/>
          <w:kern w:val="2"/>
          <w:sz w:val="32"/>
          <w:szCs w:val="32"/>
          <w:lang w:val="en-US" w:eastAsia="zh-CN" w:bidi="ar-SA"/>
        </w:rPr>
        <w:t>7.74万元，年度设定目标为：根据攀府发[2022]14号文，为表彰先进、激励全市广大干部群众共同做好民族工作，对民政局等65个单位和120名同志进行表彰鼓励，清欠召开会议的相关费用。预算执行率100%，主要用于清欠相关企业费用，完成年度目标。</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二是攀枝花市组团参加四川省第十六届少数民族传统体育运动会经费预算60.95万元，年度设定目标为：确保攀枝花市组团参加四川省第十六届少数民族传统体育运动会顺利完成。预算执行60.84万元，预算执行率99.82%，主要用于清欠相关企业费用，及运动员奖金发放，完成年度目标。</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三是宗教界人士和宗教场所慰问费及困难宗教人士生活补助20万元，年度设定目标为：缓解宗教界人士困难情况，提高宗教界人士开展宗教工作积极性，将宗教界人士团结在党和政府周围，带领全市信教群众共同维护我市宗教领域和谐稳定。预算执行率100%，完成年度目标，</w:t>
      </w:r>
      <w:r>
        <w:rPr>
          <w:rFonts w:hint="eastAsia" w:ascii="Times New Roman" w:hAnsi="Times New Roman" w:eastAsia="方正仿宋_GBK" w:cs="Times New Roman"/>
          <w:color w:val="auto"/>
          <w:kern w:val="2"/>
          <w:sz w:val="32"/>
          <w:szCs w:val="32"/>
          <w:highlight w:val="none"/>
          <w:lang w:val="en-US" w:eastAsia="zh-CN" w:bidi="ar-SA"/>
        </w:rPr>
        <w:t>慰问宗教活动场所32个，慰问宗教团体4个，慰问宗教界人士53人次，</w:t>
      </w:r>
      <w:r>
        <w:rPr>
          <w:rFonts w:hint="eastAsia" w:ascii="Times New Roman" w:hAnsi="Times New Roman" w:eastAsia="方正仿宋_GBK" w:cs="Times New Roman"/>
          <w:color w:val="auto"/>
          <w:kern w:val="2"/>
          <w:sz w:val="32"/>
          <w:szCs w:val="32"/>
          <w:lang w:val="en-US" w:eastAsia="zh-CN" w:bidi="ar-SA"/>
        </w:rPr>
        <w:t>对生活困难的宗教界人士进行了共计58人次的补助，进一步团结了宗教界人士，有效维护我市宗教界的和谐稳定。</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四是宗教工作专项经费预算10万元，年度设定目标为：提升宗教界人士综合素质，提高宗教工作干部管理水平。预算执行9.61万元，预算执行率96.1%，完成年度目标。主要用于对宗教界人士、宗教工作干部开展培训3.01万元，宗教工作干部外出参加学习、培训、考察、会议、对接工作4.29万元，召开宗教工作会议0.01万元，宣传及办公经费等2.3万元。</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五是宗教团体专项经费26.8万元，年度设定目标为：给予各全市性宗教团体一定金额工作经费补助，能直接、有效缓解宗教界工作经费紧张，匹配现实需求。预算执行率100%，完成年度目标。主要用于补助攀枝花市佛教协会7.3万元、补助攀枝花市伊斯兰教协工作经费各7万元、补助攀枝花市天主教爱国会6.5万元、攀枝花市基督教三自爱国运动委员会工作经费6万元，加强了我市各全市性宗教团体的组织、思想、制度等建设。</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六是市级挂职干部补助1.53万元，年度设定目标为：确保驻村干部各项补助按时发放到位。预算执行率100%，完成年度目标。</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七是向上争取资金工作经费10万元，年度设定目标为：做好省、市民族资金项目调查、筛选、规划、申报，争取省级民族资金到位2060余万元。预算执行率100%，完成年度目标，争取上级民族资金3849万元，主要用于单位向上争取资金协调工作差旅费、资料整理等相关办公经费。</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八是市级少数民族发展资金49.75万元，年度设定目标为：强化中华民族共同体意识的宣传教育，增进各民族对中华民族的认同感和归属感；维护民族宗教领域的稳定，积极化解潜在矛盾，确保社会秩序稳定；增强各民族之间的交流、交往与交融，进一步巩固和发展平等、团结、互助、和谐的社会主义民族关系，推动民族事业可持续发展和民族宗教事务和谐发展。预算执行率100%，完成年度目标。主要用于铸牢中华民族共同体意识大宣教相关支出6.49万元；全市民族宗教工作领域维稳等相关支出8.69万元；市民族宗教事务服务中心运行相关支出13.39万元；民族专项资金管理相关支出2.18万元；事务服务中心办公场所安全维修改造支出19万元。提升了民族宗教干部业务能力，推进攀枝花市民族团结进步创建工作，进一步铸牢中华民族共同体意识。</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九是民族团结进步示范市创建工作经费20万元，年度设定目标为：根据《中共攀枝花市委办公室攀枝花市人民政府办公室关于印发〈攀枝花市创建全国民族团结进步示范市实施方案〉的通知》文件精神，为成功创建全国民族团结进步示范市，做好对创建工作的宣传、点拉打造等工作。预算执行率100%，完成年度目标。主要用于召开推进会、培训费相关支出2.89万元；与西南民族大学战略合作，开展《攀枝花市各民族交往交流交融史编撰》编写支出16万元；创建工作劳务费、活动费等相关支出1.11万元。贯彻落实了《中共攀枝花市委办公室攀枝花市人民政府办公室关于印发〈攀枝花市创建全国民族团结进步示范市实施方案〉的通知》文件精神，结合工作开展实际情况，专项用于创建宣传氛围营造、点位打造等工作，全力争创全国民族团结示范市。</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十是上年结转的省级民族地区开发资金预算3.18万元，年度设定目标为：做好两资项目公示、两资业务工作会议、项目管理培训、两资宣传活动等，确保两资项目管理规</w:t>
      </w:r>
      <w:r>
        <w:rPr>
          <w:rFonts w:hint="eastAsia" w:eastAsia="方正仿宋_GBK" w:cs="Times New Roman"/>
          <w:color w:val="auto"/>
          <w:kern w:val="2"/>
          <w:sz w:val="32"/>
          <w:szCs w:val="32"/>
          <w:lang w:val="en-US" w:eastAsia="zh-CN" w:bidi="ar-SA"/>
        </w:rPr>
        <w:t>范</w:t>
      </w:r>
      <w:r>
        <w:rPr>
          <w:rFonts w:hint="eastAsia" w:ascii="Times New Roman" w:hAnsi="Times New Roman" w:eastAsia="方正仿宋_GBK" w:cs="Times New Roman"/>
          <w:color w:val="auto"/>
          <w:kern w:val="2"/>
          <w:sz w:val="32"/>
          <w:szCs w:val="32"/>
          <w:lang w:val="en-US" w:eastAsia="zh-CN" w:bidi="ar-SA"/>
        </w:rPr>
        <w:t>化、科学化，提升两资管理人员业务能力。预算执行3.18万元，预算执行率100%，完成年度目标。主要用于提高项目管理水平、提高项目管理人员业务水平开展培训支出3.18万元，进一步促进了项目管理科学化。</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十一是省级民族地区开发资金预算5万元，年度设定目标为：做好两资项目公示、两资业务工作会议、项目管理培训、两资宣传活动等，确保两资项目管理规</w:t>
      </w:r>
      <w:r>
        <w:rPr>
          <w:rFonts w:hint="eastAsia" w:eastAsia="方正仿宋_GBK" w:cs="Times New Roman"/>
          <w:color w:val="auto"/>
          <w:kern w:val="2"/>
          <w:sz w:val="32"/>
          <w:szCs w:val="32"/>
          <w:lang w:val="en-US" w:eastAsia="zh-CN" w:bidi="ar-SA"/>
        </w:rPr>
        <w:t>范</w:t>
      </w:r>
      <w:bookmarkStart w:id="121" w:name="_GoBack"/>
      <w:bookmarkEnd w:id="121"/>
      <w:r>
        <w:rPr>
          <w:rFonts w:hint="eastAsia" w:ascii="Times New Roman" w:hAnsi="Times New Roman" w:eastAsia="方正仿宋_GBK" w:cs="Times New Roman"/>
          <w:color w:val="auto"/>
          <w:kern w:val="2"/>
          <w:sz w:val="32"/>
          <w:szCs w:val="32"/>
          <w:lang w:val="en-US" w:eastAsia="zh-CN" w:bidi="ar-SA"/>
        </w:rPr>
        <w:t>化、科学化，提升两资管理人员业务能力。预算执行0.51万元，预算执行率10.2%，完成部分年度目标。下达的省级民族地区开发资金分为2023年结转的3.68万元，2024年当年的5万元，2024年的项目资金主要用于两资管理人员外出参加培训、会议、调研、督导、绩效评价等差旅费0.51万元，进一步促进了项目管理科学化。</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ascii="仿宋_GB2312"/>
          <w:color w:val="000000"/>
          <w:spacing w:val="0"/>
          <w:sz w:val="32"/>
          <w:szCs w:val="32"/>
        </w:rPr>
      </w:pPr>
      <w:r>
        <w:rPr>
          <w:rFonts w:hint="eastAsia" w:ascii="Times New Roman" w:hAnsi="Times New Roman" w:eastAsia="方正仿宋_GBK" w:cs="Times New Roman"/>
          <w:color w:val="auto"/>
          <w:kern w:val="2"/>
          <w:sz w:val="32"/>
          <w:szCs w:val="32"/>
          <w:lang w:val="en-US" w:eastAsia="zh-CN" w:bidi="ar-SA"/>
        </w:rPr>
        <w:t>十二是下达2023年民族事业发展专项资金10.1万元，年度设定目标为：做好攀枝花市少数民族流动人口服务管理信息化平台建设项目，完成服务中心教学点改造。预算执行率100%，完成年度目标。主要用于服务中心教学点维修改造项目10.1万元。</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仿宋" w:hAnsi="仿宋" w:eastAsia="仿宋" w:cs="宋体"/>
          <w:color w:val="000000"/>
          <w:spacing w:val="0"/>
          <w:kern w:val="0"/>
          <w:sz w:val="32"/>
          <w:szCs w:val="32"/>
        </w:rPr>
      </w:pPr>
      <w:r>
        <w:rPr>
          <w:rFonts w:hint="eastAsia" w:ascii="Times New Roman" w:hAnsi="Times New Roman" w:eastAsia="方正仿宋_GBK" w:cs="Times New Roman"/>
          <w:color w:val="auto"/>
          <w:kern w:val="2"/>
          <w:sz w:val="32"/>
          <w:szCs w:val="32"/>
          <w:lang w:val="en-US" w:eastAsia="zh-CN" w:bidi="ar-SA"/>
        </w:rPr>
        <w:t>十三是2024年民族事业发展专项资金预算40万元，年度设定目标为：为推进落实《关于实施旅游促进各民族交往交流交融计划的意见》,促进川西片区、川滇地区各民族交往交流交融,增强“五个认同”，构筑中华民族共有精神家园，开创民族团结新局面,铸牢中华民族共同体意识。拟计划开展川西片区与川滇地区系列民族文化主题活动，深入挖掘和传播川西及川滇地区的民族手工艺、文化创意产品、推广民族团结旅游线路和开展少数民族传统体育交流体验、铸牢中华民族共同体意识宣讲员交流培训等活动。预算执行4.94万元，预算执行率12.35%，完成部分年度目标。主要用于少数民族传统体育交流体验项目篮球赛支出4.94万元，其余资金计划2025年完成全部目标。</w:t>
      </w:r>
    </w:p>
    <w:p>
      <w:pPr>
        <w:keepNext w:val="0"/>
        <w:keepLines w:val="0"/>
        <w:pageBreakBefore w:val="0"/>
        <w:widowControl w:val="0"/>
        <w:suppressLineNumbers w:val="0"/>
        <w:suppressAutoHyphens w:val="0"/>
        <w:kinsoku/>
        <w:wordWrap/>
        <w:overflowPunct/>
        <w:topLinePunct w:val="0"/>
        <w:autoSpaceDE/>
        <w:autoSpaceDN w:val="0"/>
        <w:bidi w:val="0"/>
        <w:adjustRightInd/>
        <w:snapToGrid w:val="0"/>
        <w:spacing w:before="0" w:beforeAutospacing="0" w:after="0" w:afterAutospacing="0" w:line="600" w:lineRule="exact"/>
        <w:ind w:left="0" w:right="0" w:firstLine="642" w:firstLineChars="200"/>
        <w:jc w:val="both"/>
        <w:outlineLvl w:val="9"/>
        <w:rPr>
          <w:rFonts w:hint="eastAsia" w:ascii="方正楷体_GBK" w:hAnsi="方正楷体_GBK" w:eastAsia="方正楷体_GBK" w:cs="方正楷体_GBK"/>
          <w:b/>
          <w:bCs/>
          <w:color w:val="000000"/>
          <w:spacing w:val="0"/>
          <w:kern w:val="0"/>
          <w:sz w:val="32"/>
          <w:szCs w:val="32"/>
        </w:rPr>
      </w:pPr>
      <w:r>
        <w:rPr>
          <w:rFonts w:hint="eastAsia" w:ascii="方正楷体_GBK" w:hAnsi="方正楷体_GBK" w:eastAsia="方正楷体_GBK" w:cs="方正楷体_GBK"/>
          <w:b/>
          <w:bCs/>
          <w:color w:val="000000"/>
          <w:spacing w:val="0"/>
          <w:kern w:val="0"/>
          <w:sz w:val="32"/>
          <w:szCs w:val="32"/>
        </w:rPr>
        <w:t>（</w:t>
      </w:r>
      <w:r>
        <w:rPr>
          <w:rFonts w:hint="eastAsia" w:ascii="方正楷体_GBK" w:hAnsi="方正楷体_GBK" w:eastAsia="方正楷体_GBK" w:cs="方正楷体_GBK"/>
          <w:b/>
          <w:bCs/>
          <w:color w:val="000000"/>
          <w:spacing w:val="0"/>
          <w:kern w:val="0"/>
          <w:sz w:val="32"/>
          <w:szCs w:val="32"/>
          <w:lang w:eastAsia="zh-CN"/>
        </w:rPr>
        <w:t>三</w:t>
      </w:r>
      <w:r>
        <w:rPr>
          <w:rFonts w:hint="eastAsia" w:ascii="方正楷体_GBK" w:hAnsi="方正楷体_GBK" w:eastAsia="方正楷体_GBK" w:cs="方正楷体_GBK"/>
          <w:b/>
          <w:bCs/>
          <w:color w:val="000000"/>
          <w:spacing w:val="0"/>
          <w:kern w:val="0"/>
          <w:sz w:val="32"/>
          <w:szCs w:val="32"/>
        </w:rPr>
        <w:t>）</w:t>
      </w:r>
      <w:r>
        <w:rPr>
          <w:rFonts w:hint="eastAsia" w:ascii="方正楷体_GBK" w:hAnsi="方正楷体_GBK" w:eastAsia="方正楷体_GBK" w:cs="方正楷体_GBK"/>
          <w:b/>
          <w:bCs/>
          <w:caps w:val="0"/>
          <w:color w:val="auto"/>
          <w:kern w:val="2"/>
          <w:sz w:val="32"/>
          <w:szCs w:val="32"/>
          <w:vertAlign w:val="baseline"/>
          <w:lang w:val="zh-CN" w:eastAsia="zh-CN" w:bidi="ar"/>
        </w:rPr>
        <w:t>绩效结果应用情况</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ascii="仿宋" w:hAnsi="仿宋" w:eastAsia="仿宋" w:cs="宋体"/>
          <w:color w:val="000000"/>
          <w:spacing w:val="0"/>
          <w:kern w:val="0"/>
          <w:sz w:val="32"/>
          <w:szCs w:val="32"/>
        </w:rPr>
      </w:pPr>
      <w:r>
        <w:rPr>
          <w:rFonts w:hint="default" w:ascii="Times New Roman" w:hAnsi="Times New Roman" w:eastAsia="仿宋" w:cs="Times New Roman"/>
          <w:color w:val="000000"/>
          <w:spacing w:val="0"/>
          <w:kern w:val="0"/>
          <w:sz w:val="32"/>
          <w:szCs w:val="32"/>
        </w:rPr>
        <w:t>1</w:t>
      </w:r>
      <w:r>
        <w:rPr>
          <w:rFonts w:hint="eastAsia" w:ascii="仿宋" w:hAnsi="仿宋" w:eastAsia="仿宋" w:cs="宋体"/>
          <w:color w:val="000000"/>
          <w:spacing w:val="0"/>
          <w:kern w:val="0"/>
          <w:sz w:val="32"/>
          <w:szCs w:val="32"/>
        </w:rPr>
        <w:t>.</w:t>
      </w:r>
      <w:r>
        <w:rPr>
          <w:rFonts w:hint="eastAsia" w:ascii="方正仿宋_GBK" w:hAnsi="方正仿宋_GBK" w:eastAsia="方正仿宋_GBK" w:cs="方正仿宋_GBK"/>
          <w:color w:val="000000"/>
          <w:spacing w:val="0"/>
          <w:kern w:val="0"/>
          <w:sz w:val="32"/>
          <w:szCs w:val="32"/>
        </w:rPr>
        <w:t>内部应用</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000000"/>
          <w:spacing w:val="0"/>
          <w:kern w:val="0"/>
          <w:sz w:val="32"/>
          <w:szCs w:val="32"/>
        </w:rPr>
      </w:pPr>
      <w:r>
        <w:rPr>
          <w:rFonts w:hint="eastAsia" w:ascii="方正仿宋_GBK" w:hAnsi="方正仿宋_GBK" w:eastAsia="方正仿宋_GBK" w:cs="方正仿宋_GBK"/>
          <w:color w:val="000000"/>
          <w:spacing w:val="0"/>
          <w:kern w:val="0"/>
          <w:sz w:val="32"/>
          <w:szCs w:val="32"/>
        </w:rPr>
        <w:t>按照预算绩效管理要求，我委对</w:t>
      </w:r>
      <w:r>
        <w:rPr>
          <w:rFonts w:hint="default" w:ascii="Times New Roman" w:hAnsi="Times New Roman" w:eastAsia="方正仿宋_GBK" w:cs="Times New Roman"/>
          <w:color w:val="000000"/>
          <w:spacing w:val="0"/>
          <w:kern w:val="0"/>
          <w:sz w:val="32"/>
          <w:szCs w:val="32"/>
        </w:rPr>
        <w:t>202</w:t>
      </w:r>
      <w:r>
        <w:rPr>
          <w:rFonts w:hint="default" w:ascii="Times New Roman" w:hAnsi="Times New Roman" w:eastAsia="方正仿宋_GBK" w:cs="Times New Roman"/>
          <w:color w:val="000000"/>
          <w:spacing w:val="0"/>
          <w:kern w:val="0"/>
          <w:sz w:val="32"/>
          <w:szCs w:val="32"/>
          <w:lang w:val="en-US" w:eastAsia="zh-CN"/>
        </w:rPr>
        <w:t>4</w:t>
      </w:r>
      <w:r>
        <w:rPr>
          <w:rFonts w:hint="eastAsia" w:ascii="方正仿宋_GBK" w:hAnsi="方正仿宋_GBK" w:eastAsia="方正仿宋_GBK" w:cs="方正仿宋_GBK"/>
          <w:color w:val="000000"/>
          <w:spacing w:val="0"/>
          <w:kern w:val="0"/>
          <w:sz w:val="32"/>
          <w:szCs w:val="32"/>
        </w:rPr>
        <w:t>年预算项目支出开展了绩效目标管理，</w:t>
      </w:r>
      <w:r>
        <w:rPr>
          <w:rFonts w:hint="eastAsia" w:ascii="Times New Roman" w:hAnsi="Times New Roman" w:eastAsia="方正仿宋_GBK" w:cs="Times New Roman"/>
          <w:color w:val="000000"/>
          <w:spacing w:val="0"/>
          <w:kern w:val="0"/>
          <w:sz w:val="32"/>
          <w:szCs w:val="32"/>
        </w:rPr>
        <w:t>共计13个项目。民族宗教工作者、宗教界人士、少数民族群众满意度达80%及以上。</w:t>
      </w:r>
      <w:r>
        <w:rPr>
          <w:rFonts w:hint="eastAsia" w:ascii="Times New Roman" w:hAnsi="Times New Roman" w:eastAsia="方正仿宋_GBK" w:cs="Times New Roman"/>
          <w:color w:val="000000"/>
          <w:spacing w:val="0"/>
          <w:kern w:val="0"/>
          <w:sz w:val="32"/>
          <w:szCs w:val="32"/>
          <w:lang w:val="en-US" w:eastAsia="zh-CN"/>
        </w:rPr>
        <w:t>9</w:t>
      </w:r>
      <w:r>
        <w:rPr>
          <w:rFonts w:hint="eastAsia" w:ascii="Times New Roman" w:hAnsi="Times New Roman" w:eastAsia="方正仿宋_GBK" w:cs="Times New Roman"/>
          <w:color w:val="000000"/>
          <w:spacing w:val="0"/>
          <w:kern w:val="0"/>
          <w:sz w:val="32"/>
          <w:szCs w:val="32"/>
        </w:rPr>
        <w:t>个市级项目，</w:t>
      </w:r>
      <w:r>
        <w:rPr>
          <w:rFonts w:hint="eastAsia" w:ascii="Times New Roman" w:hAnsi="Times New Roman" w:eastAsia="方正仿宋_GBK" w:cs="Times New Roman"/>
          <w:color w:val="000000"/>
          <w:spacing w:val="0"/>
          <w:kern w:val="0"/>
          <w:sz w:val="32"/>
          <w:szCs w:val="32"/>
          <w:lang w:val="en-US" w:eastAsia="zh-CN"/>
        </w:rPr>
        <w:t>4个省级项目，</w:t>
      </w:r>
      <w:r>
        <w:rPr>
          <w:rFonts w:hint="eastAsia" w:ascii="Times New Roman" w:hAnsi="Times New Roman" w:eastAsia="方正仿宋_GBK" w:cs="Times New Roman"/>
          <w:color w:val="000000"/>
          <w:spacing w:val="0"/>
          <w:kern w:val="0"/>
          <w:sz w:val="32"/>
          <w:szCs w:val="32"/>
        </w:rPr>
        <w:t>所有项目目标绩效均为各业务科室草拟并请示</w:t>
      </w:r>
      <w:r>
        <w:rPr>
          <w:rFonts w:hint="eastAsia" w:ascii="Times New Roman" w:hAnsi="Times New Roman" w:eastAsia="方正仿宋_GBK" w:cs="Times New Roman"/>
          <w:color w:val="000000"/>
          <w:spacing w:val="0"/>
          <w:kern w:val="0"/>
          <w:sz w:val="32"/>
          <w:szCs w:val="32"/>
          <w:lang w:eastAsia="zh-CN"/>
        </w:rPr>
        <w:t>分管</w:t>
      </w:r>
      <w:r>
        <w:rPr>
          <w:rFonts w:hint="eastAsia" w:ascii="Times New Roman" w:hAnsi="Times New Roman" w:eastAsia="方正仿宋_GBK" w:cs="Times New Roman"/>
          <w:color w:val="000000"/>
          <w:spacing w:val="0"/>
          <w:kern w:val="0"/>
          <w:sz w:val="32"/>
          <w:szCs w:val="32"/>
        </w:rPr>
        <w:t>领导定夺后交财务室汇总上报完成，</w:t>
      </w:r>
      <w:r>
        <w:rPr>
          <w:rFonts w:hint="eastAsia" w:ascii="Times New Roman" w:hAnsi="Times New Roman" w:eastAsia="方正仿宋_GBK" w:cs="Times New Roman"/>
          <w:color w:val="000000"/>
          <w:spacing w:val="0"/>
          <w:kern w:val="0"/>
          <w:sz w:val="32"/>
          <w:szCs w:val="32"/>
          <w:lang w:val="en-US" w:eastAsia="zh-CN"/>
        </w:rPr>
        <w:t>11个项目</w:t>
      </w:r>
      <w:r>
        <w:rPr>
          <w:rFonts w:hint="eastAsia" w:ascii="Times New Roman" w:hAnsi="Times New Roman" w:eastAsia="方正仿宋_GBK" w:cs="Times New Roman"/>
          <w:color w:val="000000"/>
          <w:spacing w:val="0"/>
          <w:kern w:val="0"/>
          <w:sz w:val="32"/>
          <w:szCs w:val="32"/>
        </w:rPr>
        <w:t>完成了总体目标，</w:t>
      </w:r>
      <w:r>
        <w:rPr>
          <w:rFonts w:hint="eastAsia" w:ascii="Times New Roman" w:hAnsi="Times New Roman" w:eastAsia="方正仿宋_GBK" w:cs="Times New Roman"/>
          <w:color w:val="000000"/>
          <w:spacing w:val="0"/>
          <w:kern w:val="0"/>
          <w:sz w:val="32"/>
          <w:szCs w:val="32"/>
          <w:lang w:val="en-US" w:eastAsia="zh-CN"/>
        </w:rPr>
        <w:t>2个省级项目完成了部分目标，计划在2025年完成剩余的目标任务。绩效目标表中</w:t>
      </w:r>
      <w:r>
        <w:rPr>
          <w:rFonts w:hint="eastAsia" w:ascii="Times New Roman" w:hAnsi="Times New Roman" w:eastAsia="方正仿宋_GBK" w:cs="Times New Roman"/>
          <w:color w:val="000000"/>
          <w:spacing w:val="0"/>
          <w:kern w:val="0"/>
          <w:sz w:val="32"/>
          <w:szCs w:val="32"/>
        </w:rPr>
        <w:t>具体指标相比项目预算最初绩效设定指标依然有所偏差</w:t>
      </w:r>
      <w:r>
        <w:rPr>
          <w:rFonts w:hint="eastAsia" w:ascii="Times New Roman" w:hAnsi="Times New Roman" w:eastAsia="方正仿宋_GBK" w:cs="Times New Roman"/>
          <w:color w:val="000000"/>
          <w:spacing w:val="0"/>
          <w:kern w:val="0"/>
          <w:sz w:val="32"/>
          <w:szCs w:val="32"/>
          <w:lang w:eastAsia="zh-CN"/>
        </w:rPr>
        <w:t>，</w:t>
      </w:r>
      <w:r>
        <w:rPr>
          <w:rFonts w:hint="eastAsia" w:ascii="Times New Roman" w:hAnsi="Times New Roman" w:eastAsia="方正仿宋_GBK" w:cs="Times New Roman"/>
          <w:color w:val="000000"/>
          <w:spacing w:val="0"/>
          <w:kern w:val="0"/>
          <w:sz w:val="32"/>
          <w:szCs w:val="32"/>
        </w:rPr>
        <w:t>主要是业务科室</w:t>
      </w:r>
      <w:r>
        <w:rPr>
          <w:rFonts w:hint="eastAsia" w:ascii="Times New Roman" w:hAnsi="Times New Roman" w:eastAsia="方正仿宋_GBK" w:cs="Times New Roman"/>
          <w:color w:val="000000"/>
          <w:spacing w:val="0"/>
          <w:kern w:val="0"/>
          <w:sz w:val="32"/>
          <w:szCs w:val="32"/>
          <w:lang w:eastAsia="zh-CN"/>
        </w:rPr>
        <w:t>根据实际项目需要有所调整</w:t>
      </w:r>
      <w:r>
        <w:rPr>
          <w:rFonts w:hint="eastAsia" w:ascii="Times New Roman" w:hAnsi="Times New Roman" w:eastAsia="方正仿宋_GBK" w:cs="Times New Roman"/>
          <w:color w:val="000000"/>
          <w:spacing w:val="0"/>
          <w:kern w:val="0"/>
          <w:sz w:val="32"/>
          <w:szCs w:val="32"/>
        </w:rPr>
        <w:t>，项目实际付款与付款进度之间有滞后现象，加之财政资金执行困难等各种原因，故最后执行完成绩效与预算绩效之间存在差异。</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000000"/>
          <w:spacing w:val="0"/>
          <w:kern w:val="0"/>
          <w:sz w:val="32"/>
          <w:szCs w:val="32"/>
        </w:rPr>
      </w:pPr>
      <w:r>
        <w:rPr>
          <w:rFonts w:hint="eastAsia" w:ascii="Times New Roman" w:hAnsi="Times New Roman" w:eastAsia="方正仿宋_GBK" w:cs="Times New Roman"/>
          <w:color w:val="000000"/>
          <w:spacing w:val="0"/>
          <w:kern w:val="0"/>
          <w:sz w:val="32"/>
          <w:szCs w:val="32"/>
        </w:rPr>
        <w:t>2.自评公开</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000000"/>
          <w:spacing w:val="0"/>
          <w:kern w:val="0"/>
          <w:sz w:val="32"/>
          <w:szCs w:val="32"/>
        </w:rPr>
      </w:pPr>
      <w:bookmarkStart w:id="91" w:name="_Hlk163335039"/>
      <w:r>
        <w:rPr>
          <w:rFonts w:hint="eastAsia" w:ascii="Times New Roman" w:hAnsi="Times New Roman" w:eastAsia="方正仿宋_GBK" w:cs="Times New Roman"/>
          <w:color w:val="000000"/>
          <w:spacing w:val="0"/>
          <w:kern w:val="0"/>
          <w:sz w:val="32"/>
          <w:szCs w:val="32"/>
        </w:rPr>
        <w:t>绩效自评结果在攀枝花市民族宗教事务委员会公众网</w:t>
      </w:r>
      <w:r>
        <w:rPr>
          <w:rFonts w:hint="eastAsia" w:ascii="Times New Roman" w:hAnsi="Times New Roman" w:eastAsia="方正仿宋_GBK" w:cs="Times New Roman"/>
          <w:color w:val="000000"/>
          <w:spacing w:val="0"/>
          <w:kern w:val="0"/>
          <w:sz w:val="32"/>
          <w:szCs w:val="32"/>
          <w:lang w:eastAsia="zh-CN"/>
        </w:rPr>
        <w:t>每年决算部分</w:t>
      </w:r>
      <w:r>
        <w:rPr>
          <w:rFonts w:hint="eastAsia" w:ascii="Times New Roman" w:hAnsi="Times New Roman" w:eastAsia="方正仿宋_GBK" w:cs="Times New Roman"/>
          <w:color w:val="000000"/>
          <w:spacing w:val="0"/>
          <w:kern w:val="0"/>
          <w:sz w:val="32"/>
          <w:szCs w:val="32"/>
        </w:rPr>
        <w:t>对外公开，并未收到任何异议。</w:t>
      </w:r>
      <w:bookmarkEnd w:id="91"/>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方正仿宋_GBK" w:hAnsi="方正仿宋_GBK" w:eastAsia="方正仿宋_GBK" w:cs="方正仿宋_GBK"/>
          <w:color w:val="000000"/>
          <w:spacing w:val="0"/>
          <w:sz w:val="32"/>
          <w:szCs w:val="32"/>
        </w:rPr>
      </w:pPr>
      <w:r>
        <w:rPr>
          <w:rFonts w:hint="eastAsia" w:ascii="Times New Roman" w:hAnsi="Times New Roman" w:eastAsia="方正仿宋_GBK" w:cs="Times New Roman"/>
          <w:color w:val="000000"/>
          <w:spacing w:val="0"/>
          <w:kern w:val="0"/>
          <w:sz w:val="32"/>
          <w:szCs w:val="32"/>
        </w:rPr>
        <w:t>3.问题整改</w:t>
      </w:r>
    </w:p>
    <w:p>
      <w:pPr>
        <w:keepNext w:val="0"/>
        <w:keepLines w:val="0"/>
        <w:pageBreakBefore w:val="0"/>
        <w:kinsoku/>
        <w:wordWrap/>
        <w:overflowPunct/>
        <w:topLinePunct w:val="0"/>
        <w:bidi w:val="0"/>
        <w:adjustRightInd/>
        <w:snapToGrid/>
        <w:spacing w:line="240" w:lineRule="auto"/>
        <w:ind w:left="0" w:leftChars="0" w:firstLine="640" w:firstLineChars="200"/>
        <w:jc w:val="both"/>
        <w:textAlignment w:val="auto"/>
        <w:rPr>
          <w:rFonts w:hint="eastAsia" w:ascii="仿宋_GB2312"/>
          <w:color w:val="000000"/>
          <w:spacing w:val="0"/>
          <w:sz w:val="32"/>
          <w:szCs w:val="32"/>
          <w:lang w:val="zh-CN"/>
        </w:rPr>
      </w:pPr>
      <w:r>
        <w:rPr>
          <w:rFonts w:hint="eastAsia" w:ascii="方正仿宋_GBK" w:hAnsi="方正仿宋_GBK" w:eastAsia="方正仿宋_GBK" w:cs="方正仿宋_GBK"/>
          <w:color w:val="000000"/>
          <w:spacing w:val="0"/>
          <w:sz w:val="32"/>
          <w:szCs w:val="32"/>
        </w:rPr>
        <w:t>在各项绩效目标核查、绩效监控核查中暂未发现重大问题需要整改的情况。</w:t>
      </w:r>
    </w:p>
    <w:p>
      <w:pPr>
        <w:keepNext w:val="0"/>
        <w:keepLines w:val="0"/>
        <w:pageBreakBefore w:val="0"/>
        <w:widowControl/>
        <w:kinsoku/>
        <w:wordWrap/>
        <w:overflowPunct/>
        <w:topLinePunct w:val="0"/>
        <w:bidi w:val="0"/>
        <w:adjustRightInd/>
        <w:snapToGrid/>
        <w:spacing w:line="240" w:lineRule="auto"/>
        <w:ind w:left="0" w:leftChars="0" w:firstLine="640" w:firstLineChars="200"/>
        <w:jc w:val="both"/>
        <w:textAlignment w:val="auto"/>
        <w:rPr>
          <w:rFonts w:hint="eastAsia" w:ascii="方正黑体_GBK" w:hAnsi="方正黑体_GBK" w:eastAsia="方正黑体_GBK" w:cs="方正黑体_GBK"/>
          <w:color w:val="000000"/>
          <w:spacing w:val="0"/>
          <w:kern w:val="0"/>
          <w:sz w:val="32"/>
          <w:szCs w:val="32"/>
          <w:shd w:val="clear" w:color="auto" w:fill="FFFFFF"/>
        </w:rPr>
      </w:pPr>
      <w:r>
        <w:rPr>
          <w:rFonts w:hint="eastAsia" w:ascii="方正黑体_GBK" w:hAnsi="方正黑体_GBK" w:eastAsia="方正黑体_GBK" w:cs="方正黑体_GBK"/>
          <w:color w:val="000000"/>
          <w:spacing w:val="0"/>
          <w:kern w:val="0"/>
          <w:sz w:val="32"/>
          <w:szCs w:val="32"/>
          <w:shd w:val="clear" w:color="auto" w:fill="FFFFFF"/>
        </w:rPr>
        <w:t>四、评价结论及建议</w:t>
      </w:r>
    </w:p>
    <w:p>
      <w:pPr>
        <w:keepNext w:val="0"/>
        <w:keepLines w:val="0"/>
        <w:pageBreakBefore w:val="0"/>
        <w:widowControl/>
        <w:kinsoku/>
        <w:wordWrap/>
        <w:overflowPunct/>
        <w:topLinePunct w:val="0"/>
        <w:bidi w:val="0"/>
        <w:adjustRightInd/>
        <w:snapToGrid/>
        <w:spacing w:line="240" w:lineRule="auto"/>
        <w:ind w:left="0" w:leftChars="0" w:firstLine="642" w:firstLineChars="200"/>
        <w:jc w:val="both"/>
        <w:textAlignment w:val="auto"/>
        <w:rPr>
          <w:rFonts w:hint="eastAsia" w:ascii="方正楷体_GBK" w:hAnsi="方正楷体_GBK" w:eastAsia="方正楷体_GBK" w:cs="方正楷体_GBK"/>
          <w:b/>
          <w:bCs/>
          <w:color w:val="000000"/>
          <w:spacing w:val="0"/>
          <w:kern w:val="0"/>
          <w:sz w:val="32"/>
          <w:szCs w:val="32"/>
          <w:shd w:val="clear" w:color="auto" w:fill="FFFFFF"/>
          <w:lang w:val="zh-CN"/>
        </w:rPr>
      </w:pPr>
      <w:r>
        <w:rPr>
          <w:rFonts w:hint="eastAsia" w:ascii="方正楷体_GBK" w:hAnsi="方正楷体_GBK" w:eastAsia="方正楷体_GBK" w:cs="方正楷体_GBK"/>
          <w:b/>
          <w:bCs/>
          <w:color w:val="000000"/>
          <w:spacing w:val="0"/>
          <w:kern w:val="0"/>
          <w:sz w:val="32"/>
          <w:szCs w:val="32"/>
          <w:shd w:val="clear" w:color="auto" w:fill="FFFFFF"/>
          <w:lang w:val="zh-CN"/>
        </w:rPr>
        <w:t>（一）评价结论</w:t>
      </w:r>
    </w:p>
    <w:p>
      <w:pPr>
        <w:keepNext w:val="0"/>
        <w:keepLines w:val="0"/>
        <w:pageBreakBefore w:val="0"/>
        <w:widowControl/>
        <w:kinsoku/>
        <w:wordWrap/>
        <w:overflowPunct/>
        <w:topLinePunct w:val="0"/>
        <w:bidi w:val="0"/>
        <w:adjustRightInd/>
        <w:snapToGrid/>
        <w:spacing w:line="240" w:lineRule="auto"/>
        <w:ind w:left="0" w:leftChars="0" w:firstLine="640" w:firstLineChars="200"/>
        <w:jc w:val="both"/>
        <w:textAlignment w:val="auto"/>
        <w:rPr>
          <w:rFonts w:hint="eastAsia" w:ascii="方正仿宋_GBK" w:hAnsi="方正仿宋_GBK" w:eastAsia="方正仿宋_GBK" w:cs="方正仿宋_GBK"/>
          <w:color w:val="000000"/>
          <w:spacing w:val="0"/>
          <w:sz w:val="32"/>
          <w:szCs w:val="32"/>
        </w:rPr>
      </w:pPr>
      <w:r>
        <w:rPr>
          <w:rFonts w:hint="eastAsia" w:ascii="方正仿宋_GBK" w:hAnsi="方正仿宋_GBK" w:eastAsia="方正仿宋_GBK" w:cs="方正仿宋_GBK"/>
          <w:color w:val="000000"/>
          <w:spacing w:val="0"/>
          <w:sz w:val="32"/>
          <w:szCs w:val="32"/>
        </w:rPr>
        <w:t>我单位项目绩效评价结果较好，</w:t>
      </w:r>
      <w:r>
        <w:rPr>
          <w:rFonts w:hint="eastAsia" w:ascii="方正仿宋_GBK" w:hAnsi="方正仿宋_GBK" w:eastAsia="方正仿宋_GBK" w:cs="方正仿宋_GBK"/>
          <w:color w:val="000000"/>
          <w:spacing w:val="0"/>
          <w:sz w:val="32"/>
          <w:szCs w:val="32"/>
          <w:lang w:eastAsia="zh-CN"/>
        </w:rPr>
        <w:t>自评得分</w:t>
      </w:r>
      <w:r>
        <w:rPr>
          <w:rFonts w:hint="eastAsia" w:ascii="Times New Roman" w:hAnsi="Times New Roman" w:eastAsia="方正仿宋_GBK" w:cs="Times New Roman"/>
          <w:color w:val="000000"/>
          <w:spacing w:val="0"/>
          <w:sz w:val="32"/>
          <w:szCs w:val="32"/>
          <w:lang w:val="en-US" w:eastAsia="zh-CN"/>
        </w:rPr>
        <w:t>87.67</w:t>
      </w:r>
      <w:r>
        <w:rPr>
          <w:rFonts w:hint="eastAsia" w:ascii="方正仿宋_GBK" w:hAnsi="方正仿宋_GBK" w:eastAsia="方正仿宋_GBK" w:cs="方正仿宋_GBK"/>
          <w:color w:val="000000"/>
          <w:spacing w:val="0"/>
          <w:sz w:val="32"/>
          <w:szCs w:val="32"/>
          <w:lang w:val="en-US" w:eastAsia="zh-CN"/>
        </w:rPr>
        <w:t>分，</w:t>
      </w:r>
      <w:r>
        <w:rPr>
          <w:rFonts w:hint="eastAsia" w:ascii="方正仿宋_GBK" w:hAnsi="方正仿宋_GBK" w:eastAsia="方正仿宋_GBK" w:cs="方正仿宋_GBK"/>
          <w:color w:val="000000"/>
          <w:spacing w:val="0"/>
          <w:sz w:val="32"/>
          <w:szCs w:val="32"/>
        </w:rPr>
        <w:t>资金使用绩效显著，项目管理绩效突出，整体绩效水平有所提高，受益群众较为满意。</w:t>
      </w:r>
    </w:p>
    <w:p>
      <w:pPr>
        <w:keepNext w:val="0"/>
        <w:keepLines w:val="0"/>
        <w:pageBreakBefore w:val="0"/>
        <w:widowControl/>
        <w:kinsoku/>
        <w:wordWrap/>
        <w:overflowPunct/>
        <w:topLinePunct w:val="0"/>
        <w:bidi w:val="0"/>
        <w:adjustRightInd/>
        <w:snapToGrid/>
        <w:spacing w:line="240" w:lineRule="auto"/>
        <w:ind w:left="0" w:leftChars="0" w:firstLine="640" w:firstLineChars="200"/>
        <w:jc w:val="both"/>
        <w:textAlignment w:val="auto"/>
        <w:rPr>
          <w:rFonts w:hint="eastAsia" w:ascii="方正仿宋_GBK" w:hAnsi="方正仿宋_GBK" w:eastAsia="方正仿宋_GBK" w:cs="方正仿宋_GBK"/>
          <w:color w:val="000000"/>
          <w:spacing w:val="0"/>
          <w:sz w:val="32"/>
          <w:szCs w:val="32"/>
        </w:rPr>
      </w:pPr>
      <w:r>
        <w:rPr>
          <w:rFonts w:hint="default" w:ascii="Times New Roman" w:hAnsi="Times New Roman" w:eastAsia="方正仿宋_GBK" w:cs="Times New Roman"/>
          <w:color w:val="000000"/>
          <w:spacing w:val="0"/>
          <w:sz w:val="32"/>
          <w:szCs w:val="32"/>
        </w:rPr>
        <w:t>202</w:t>
      </w:r>
      <w:r>
        <w:rPr>
          <w:rFonts w:hint="default" w:ascii="Times New Roman" w:hAnsi="Times New Roman" w:eastAsia="方正仿宋_GBK" w:cs="Times New Roman"/>
          <w:color w:val="000000"/>
          <w:spacing w:val="0"/>
          <w:sz w:val="32"/>
          <w:szCs w:val="32"/>
          <w:lang w:val="en-US" w:eastAsia="zh-CN"/>
        </w:rPr>
        <w:t>4</w:t>
      </w:r>
      <w:r>
        <w:rPr>
          <w:rFonts w:hint="eastAsia" w:ascii="方正仿宋_GBK" w:hAnsi="方正仿宋_GBK" w:eastAsia="方正仿宋_GBK" w:cs="方正仿宋_GBK"/>
          <w:color w:val="000000"/>
          <w:spacing w:val="0"/>
          <w:sz w:val="32"/>
          <w:szCs w:val="32"/>
        </w:rPr>
        <w:t>年我委进一步巩</w:t>
      </w:r>
      <w:r>
        <w:rPr>
          <w:rFonts w:hint="eastAsia" w:ascii="方正仿宋_GBK" w:hAnsi="方正仿宋_GBK" w:eastAsia="方正仿宋_GBK" w:cs="方正仿宋_GBK"/>
          <w:color w:val="000000"/>
          <w:spacing w:val="0"/>
          <w:sz w:val="32"/>
          <w:szCs w:val="32"/>
          <w:highlight w:val="none"/>
        </w:rPr>
        <w:t>固落实了中央八项规定</w:t>
      </w:r>
      <w:r>
        <w:rPr>
          <w:rFonts w:hint="eastAsia" w:ascii="方正仿宋_GBK" w:hAnsi="方正仿宋_GBK" w:eastAsia="方正仿宋_GBK" w:cs="方正仿宋_GBK"/>
          <w:color w:val="000000"/>
          <w:spacing w:val="0"/>
          <w:sz w:val="32"/>
          <w:szCs w:val="32"/>
          <w:highlight w:val="none"/>
          <w:lang w:eastAsia="zh-CN"/>
        </w:rPr>
        <w:t>精神</w:t>
      </w:r>
      <w:r>
        <w:rPr>
          <w:rFonts w:hint="eastAsia" w:ascii="方正仿宋_GBK" w:hAnsi="方正仿宋_GBK" w:eastAsia="方正仿宋_GBK" w:cs="方正仿宋_GBK"/>
          <w:color w:val="000000"/>
          <w:spacing w:val="0"/>
          <w:sz w:val="32"/>
          <w:szCs w:val="32"/>
          <w:highlight w:val="none"/>
        </w:rPr>
        <w:t>和省委省政府十项规定</w:t>
      </w:r>
      <w:r>
        <w:rPr>
          <w:rFonts w:hint="eastAsia" w:ascii="方正仿宋_GBK" w:hAnsi="方正仿宋_GBK" w:eastAsia="方正仿宋_GBK" w:cs="方正仿宋_GBK"/>
          <w:color w:val="000000"/>
          <w:spacing w:val="0"/>
          <w:sz w:val="32"/>
          <w:szCs w:val="32"/>
          <w:highlight w:val="none"/>
          <w:lang w:eastAsia="zh-CN"/>
        </w:rPr>
        <w:t>及其实施细则</w:t>
      </w:r>
      <w:r>
        <w:rPr>
          <w:rFonts w:hint="eastAsia" w:ascii="方正仿宋_GBK" w:hAnsi="方正仿宋_GBK" w:eastAsia="方正仿宋_GBK" w:cs="方正仿宋_GBK"/>
          <w:color w:val="000000"/>
          <w:spacing w:val="0"/>
          <w:sz w:val="32"/>
          <w:szCs w:val="32"/>
          <w:highlight w:val="none"/>
        </w:rPr>
        <w:t>，</w:t>
      </w:r>
      <w:r>
        <w:rPr>
          <w:rFonts w:hint="eastAsia" w:ascii="方正仿宋_GBK" w:hAnsi="方正仿宋_GBK" w:eastAsia="方正仿宋_GBK" w:cs="方正仿宋_GBK"/>
          <w:color w:val="000000"/>
          <w:spacing w:val="0"/>
          <w:sz w:val="32"/>
          <w:szCs w:val="32"/>
        </w:rPr>
        <w:t>继续加强了“三公经费”、会议费、培训费、差旅费的管理，进一步完善了各项财务制度，及时更新最新财务要求，严格执行财务管理规定，</w:t>
      </w:r>
      <w:r>
        <w:rPr>
          <w:rFonts w:hint="eastAsia" w:ascii="方正仿宋_GBK" w:hAnsi="方正仿宋_GBK" w:eastAsia="方正仿宋_GBK" w:cs="方正仿宋_GBK"/>
          <w:color w:val="000000"/>
          <w:spacing w:val="0"/>
          <w:sz w:val="32"/>
          <w:szCs w:val="32"/>
          <w:lang w:eastAsia="zh-CN"/>
        </w:rPr>
        <w:t>制定</w:t>
      </w:r>
      <w:r>
        <w:rPr>
          <w:rFonts w:hint="eastAsia" w:ascii="方正仿宋_GBK" w:hAnsi="方正仿宋_GBK" w:eastAsia="方正仿宋_GBK" w:cs="方正仿宋_GBK"/>
          <w:color w:val="000000"/>
          <w:spacing w:val="0"/>
          <w:sz w:val="32"/>
          <w:szCs w:val="32"/>
        </w:rPr>
        <w:t>了《中共攀枝花市民族宗教事务委员会党组议事决策规则》</w:t>
      </w:r>
      <w:r>
        <w:rPr>
          <w:rFonts w:hint="eastAsia" w:ascii="方正仿宋_GBK" w:hAnsi="方正仿宋_GBK" w:eastAsia="方正仿宋_GBK" w:cs="方正仿宋_GBK"/>
          <w:color w:val="000000"/>
          <w:spacing w:val="0"/>
          <w:sz w:val="32"/>
          <w:szCs w:val="32"/>
          <w:lang w:eastAsia="zh-CN"/>
        </w:rPr>
        <w:t>《攀枝花市民族宗教事务委员会自行采购管理办法（试行）》</w:t>
      </w:r>
      <w:r>
        <w:rPr>
          <w:rFonts w:hint="eastAsia" w:ascii="方正仿宋_GBK" w:hAnsi="方正仿宋_GBK" w:eastAsia="方正仿宋_GBK" w:cs="方正仿宋_GBK"/>
          <w:color w:val="000000"/>
          <w:spacing w:val="0"/>
          <w:sz w:val="32"/>
          <w:szCs w:val="32"/>
        </w:rPr>
        <w:t>，从严管理财政资金。对各项财务检查做到举一反三。加大了绩效管理力度。</w:t>
      </w:r>
    </w:p>
    <w:p>
      <w:pPr>
        <w:keepNext w:val="0"/>
        <w:keepLines w:val="0"/>
        <w:pageBreakBefore w:val="0"/>
        <w:widowControl/>
        <w:kinsoku/>
        <w:wordWrap/>
        <w:overflowPunct/>
        <w:topLinePunct w:val="0"/>
        <w:bidi w:val="0"/>
        <w:adjustRightInd/>
        <w:snapToGrid/>
        <w:spacing w:line="240" w:lineRule="auto"/>
        <w:ind w:left="0" w:leftChars="0" w:firstLine="642" w:firstLineChars="200"/>
        <w:jc w:val="both"/>
        <w:textAlignment w:val="auto"/>
        <w:rPr>
          <w:rFonts w:hint="eastAsia" w:ascii="方正楷体_GBK" w:hAnsi="方正楷体_GBK" w:eastAsia="方正楷体_GBK" w:cs="方正楷体_GBK"/>
          <w:b/>
          <w:bCs/>
          <w:color w:val="000000"/>
          <w:spacing w:val="0"/>
          <w:kern w:val="0"/>
          <w:sz w:val="32"/>
          <w:szCs w:val="32"/>
          <w:shd w:val="clear" w:color="auto" w:fill="FFFFFF"/>
          <w:lang w:val="zh-CN"/>
        </w:rPr>
      </w:pPr>
      <w:r>
        <w:rPr>
          <w:rFonts w:hint="eastAsia" w:ascii="方正楷体_GBK" w:hAnsi="方正楷体_GBK" w:eastAsia="方正楷体_GBK" w:cs="方正楷体_GBK"/>
          <w:b/>
          <w:bCs/>
          <w:color w:val="000000"/>
          <w:spacing w:val="0"/>
          <w:kern w:val="0"/>
          <w:sz w:val="32"/>
          <w:szCs w:val="32"/>
          <w:shd w:val="clear" w:color="auto" w:fill="FFFFFF"/>
          <w:lang w:val="zh-CN"/>
        </w:rPr>
        <w:t>（二）存在问题</w:t>
      </w:r>
    </w:p>
    <w:p>
      <w:pPr>
        <w:keepNext w:val="0"/>
        <w:keepLines w:val="0"/>
        <w:pageBreakBefore w:val="0"/>
        <w:widowControl/>
        <w:kinsoku/>
        <w:wordWrap/>
        <w:overflowPunct/>
        <w:topLinePunct w:val="0"/>
        <w:bidi w:val="0"/>
        <w:adjustRightInd/>
        <w:snapToGrid/>
        <w:spacing w:line="240" w:lineRule="auto"/>
        <w:ind w:left="0" w:leftChars="0" w:firstLine="640" w:firstLineChars="200"/>
        <w:jc w:val="both"/>
        <w:textAlignment w:val="auto"/>
        <w:rPr>
          <w:rFonts w:hint="eastAsia" w:ascii="Times New Roman" w:hAnsi="Times New Roman" w:eastAsia="方正仿宋_GBK" w:cs="Times New Roman"/>
          <w:color w:val="000000"/>
          <w:spacing w:val="0"/>
          <w:sz w:val="32"/>
          <w:szCs w:val="32"/>
        </w:rPr>
      </w:pPr>
      <w:r>
        <w:rPr>
          <w:rFonts w:hint="eastAsia" w:ascii="Times New Roman" w:hAnsi="Times New Roman" w:eastAsia="方正仿宋_GBK" w:cs="Times New Roman"/>
          <w:color w:val="000000"/>
          <w:spacing w:val="0"/>
          <w:sz w:val="32"/>
          <w:szCs w:val="32"/>
        </w:rPr>
        <w:t>一是预算的申报和调整有待进一步规范化。由于发生临时安排的工作任务，以及项目实际支出金额增减导致资金预算调整，</w:t>
      </w:r>
      <w:r>
        <w:rPr>
          <w:rFonts w:hint="eastAsia" w:ascii="Times New Roman" w:hAnsi="Times New Roman" w:eastAsia="方正仿宋_GBK" w:cs="Times New Roman"/>
          <w:color w:val="000000"/>
          <w:spacing w:val="0"/>
          <w:sz w:val="32"/>
          <w:szCs w:val="32"/>
          <w:lang w:eastAsia="zh-CN"/>
        </w:rPr>
        <w:t>要</w:t>
      </w:r>
      <w:r>
        <w:rPr>
          <w:rFonts w:hint="eastAsia" w:ascii="Times New Roman" w:hAnsi="Times New Roman" w:eastAsia="方正仿宋_GBK" w:cs="Times New Roman"/>
          <w:color w:val="000000"/>
          <w:spacing w:val="0"/>
          <w:sz w:val="32"/>
          <w:szCs w:val="32"/>
        </w:rPr>
        <w:t>加强与市财政局的沟通报备</w:t>
      </w:r>
      <w:r>
        <w:rPr>
          <w:rFonts w:hint="eastAsia" w:ascii="Times New Roman" w:hAnsi="Times New Roman" w:eastAsia="方正仿宋_GBK" w:cs="Times New Roman"/>
          <w:color w:val="000000"/>
          <w:spacing w:val="0"/>
          <w:sz w:val="32"/>
          <w:szCs w:val="32"/>
          <w:lang w:eastAsia="zh-CN"/>
        </w:rPr>
        <w:t>，及时进行支出部门经济科目的调整</w:t>
      </w:r>
      <w:r>
        <w:rPr>
          <w:rFonts w:hint="eastAsia" w:ascii="Times New Roman" w:hAnsi="Times New Roman" w:eastAsia="方正仿宋_GBK" w:cs="Times New Roman"/>
          <w:color w:val="000000"/>
          <w:spacing w:val="0"/>
          <w:sz w:val="32"/>
          <w:szCs w:val="32"/>
        </w:rPr>
        <w:t>。二是绩效指标目标值的设定有待进一步科学及合理化，业务科室与财务室的沟通对接有待进一步加强，提高工作的前瞻性。</w:t>
      </w:r>
    </w:p>
    <w:p>
      <w:pPr>
        <w:keepNext w:val="0"/>
        <w:keepLines w:val="0"/>
        <w:pageBreakBefore w:val="0"/>
        <w:widowControl/>
        <w:kinsoku/>
        <w:wordWrap/>
        <w:overflowPunct/>
        <w:topLinePunct w:val="0"/>
        <w:bidi w:val="0"/>
        <w:adjustRightInd/>
        <w:snapToGrid/>
        <w:spacing w:line="240" w:lineRule="auto"/>
        <w:ind w:left="0" w:leftChars="0" w:firstLine="642" w:firstLineChars="200"/>
        <w:jc w:val="both"/>
        <w:textAlignment w:val="auto"/>
        <w:rPr>
          <w:rFonts w:hint="eastAsia" w:ascii="方正楷体_GBK" w:hAnsi="方正楷体_GBK" w:eastAsia="方正楷体_GBK" w:cs="方正楷体_GBK"/>
          <w:b/>
          <w:bCs/>
          <w:color w:val="000000"/>
          <w:spacing w:val="0"/>
          <w:kern w:val="0"/>
          <w:sz w:val="32"/>
          <w:szCs w:val="32"/>
          <w:shd w:val="clear" w:color="auto" w:fill="FFFFFF"/>
          <w:lang w:val="zh-CN"/>
        </w:rPr>
      </w:pPr>
      <w:r>
        <w:rPr>
          <w:rFonts w:hint="eastAsia" w:ascii="方正楷体_GBK" w:hAnsi="方正楷体_GBK" w:eastAsia="方正楷体_GBK" w:cs="方正楷体_GBK"/>
          <w:b/>
          <w:bCs/>
          <w:color w:val="000000"/>
          <w:spacing w:val="0"/>
          <w:kern w:val="0"/>
          <w:sz w:val="32"/>
          <w:szCs w:val="32"/>
          <w:shd w:val="clear" w:color="auto" w:fill="FFFFFF"/>
          <w:lang w:val="zh-CN"/>
        </w:rPr>
        <w:t>（三）改进建议</w:t>
      </w:r>
      <w:r>
        <w:rPr>
          <w:rFonts w:hint="eastAsia" w:ascii="方正楷体_GBK" w:hAnsi="方正楷体_GBK" w:eastAsia="方正楷体_GBK" w:cs="方正楷体_GBK"/>
          <w:b/>
          <w:bCs/>
          <w:color w:val="000000"/>
          <w:spacing w:val="0"/>
          <w:sz w:val="32"/>
          <w:szCs w:val="32"/>
        </w:rPr>
        <w:t>改进措施</w:t>
      </w:r>
    </w:p>
    <w:p>
      <w:pPr>
        <w:pStyle w:val="22"/>
        <w:keepNext w:val="0"/>
        <w:keepLines w:val="0"/>
        <w:pageBreakBefore w:val="0"/>
        <w:widowControl w:val="0"/>
        <w:kinsoku/>
        <w:wordWrap/>
        <w:overflowPunct/>
        <w:topLinePunct w:val="0"/>
        <w:autoSpaceDE w:val="0"/>
        <w:autoSpaceDN w:val="0"/>
        <w:bidi w:val="0"/>
        <w:adjustRightInd w:val="0"/>
        <w:snapToGrid/>
        <w:ind w:firstLine="640" w:firstLineChars="200"/>
        <w:textAlignment w:val="auto"/>
        <w:outlineLvl w:val="9"/>
        <w:rPr>
          <w:rFonts w:hint="eastAsia" w:ascii="Times New Roman" w:hAnsi="Times New Roman" w:eastAsia="方正仿宋_GBK" w:cs="Times New Roman"/>
          <w:color w:val="000000"/>
          <w:spacing w:val="0"/>
          <w:sz w:val="32"/>
          <w:szCs w:val="32"/>
        </w:rPr>
      </w:pPr>
      <w:r>
        <w:rPr>
          <w:rFonts w:hint="eastAsia" w:ascii="Times New Roman" w:hAnsi="Times New Roman" w:eastAsia="方正仿宋_GBK" w:cs="Times New Roman"/>
          <w:color w:val="000000"/>
          <w:spacing w:val="0"/>
          <w:sz w:val="32"/>
          <w:szCs w:val="32"/>
        </w:rPr>
        <w:t>一是进一步优化项目数量、合理分配项目资金，突出重大重点项目；二是加强单位职工的绩效知识培训，增强业务科室人员的绩效意识，</w:t>
      </w:r>
      <w:r>
        <w:rPr>
          <w:rFonts w:hint="eastAsia" w:ascii="Times New Roman" w:hAnsi="Times New Roman" w:eastAsia="方正仿宋_GBK" w:cs="Times New Roman"/>
          <w:color w:val="000000"/>
          <w:spacing w:val="0"/>
          <w:sz w:val="32"/>
          <w:szCs w:val="32"/>
          <w:lang w:eastAsia="zh-CN"/>
        </w:rPr>
        <w:t>因项目资金使用</w:t>
      </w:r>
      <w:r>
        <w:rPr>
          <w:rFonts w:hint="eastAsia" w:ascii="Times New Roman" w:hAnsi="Times New Roman" w:eastAsia="方正仿宋_GBK" w:cs="Times New Roman"/>
          <w:color w:val="000000"/>
          <w:spacing w:val="0"/>
          <w:sz w:val="32"/>
          <w:szCs w:val="32"/>
        </w:rPr>
        <w:t>有调整需</w:t>
      </w:r>
      <w:r>
        <w:rPr>
          <w:rFonts w:hint="eastAsia" w:ascii="Times New Roman" w:hAnsi="Times New Roman" w:eastAsia="方正仿宋_GBK" w:cs="Times New Roman"/>
          <w:color w:val="000000"/>
          <w:spacing w:val="0"/>
          <w:sz w:val="32"/>
          <w:szCs w:val="32"/>
          <w:lang w:eastAsia="zh-CN"/>
        </w:rPr>
        <w:t>向市财政局提交部门经济科目支出调整申请</w:t>
      </w:r>
      <w:r>
        <w:rPr>
          <w:rFonts w:hint="eastAsia" w:ascii="Times New Roman" w:hAnsi="Times New Roman" w:eastAsia="方正仿宋_GBK" w:cs="Times New Roman"/>
          <w:color w:val="000000"/>
          <w:spacing w:val="0"/>
          <w:sz w:val="32"/>
          <w:szCs w:val="32"/>
        </w:rPr>
        <w:t>，</w:t>
      </w:r>
      <w:r>
        <w:rPr>
          <w:rFonts w:hint="eastAsia" w:ascii="Times New Roman" w:hAnsi="Times New Roman" w:eastAsia="方正仿宋_GBK" w:cs="Times New Roman"/>
          <w:color w:val="000000"/>
          <w:spacing w:val="0"/>
          <w:sz w:val="32"/>
          <w:szCs w:val="32"/>
          <w:lang w:eastAsia="zh-CN"/>
        </w:rPr>
        <w:t>故</w:t>
      </w:r>
      <w:r>
        <w:rPr>
          <w:rFonts w:hint="eastAsia" w:ascii="Times New Roman" w:hAnsi="Times New Roman" w:eastAsia="方正仿宋_GBK" w:cs="Times New Roman"/>
          <w:color w:val="000000"/>
          <w:spacing w:val="0"/>
          <w:sz w:val="32"/>
          <w:szCs w:val="32"/>
        </w:rPr>
        <w:t>在具体项目实施过程中业务科室需要跟财务室</w:t>
      </w:r>
      <w:r>
        <w:rPr>
          <w:rFonts w:hint="eastAsia" w:ascii="Times New Roman" w:hAnsi="Times New Roman" w:eastAsia="方正仿宋_GBK" w:cs="Times New Roman"/>
          <w:color w:val="000000"/>
          <w:spacing w:val="0"/>
          <w:sz w:val="32"/>
          <w:szCs w:val="32"/>
          <w:lang w:eastAsia="zh-CN"/>
        </w:rPr>
        <w:t>加强</w:t>
      </w:r>
      <w:r>
        <w:rPr>
          <w:rFonts w:hint="eastAsia" w:ascii="Times New Roman" w:hAnsi="Times New Roman" w:eastAsia="方正仿宋_GBK" w:cs="Times New Roman"/>
          <w:color w:val="000000"/>
          <w:spacing w:val="0"/>
          <w:sz w:val="32"/>
          <w:szCs w:val="32"/>
        </w:rPr>
        <w:t>沟通，提高工作的前瞻性。</w:t>
      </w:r>
    </w:p>
    <w:p>
      <w:pPr>
        <w:pStyle w:val="55"/>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outlineLvl w:val="9"/>
        <w:rPr>
          <w:rFonts w:hint="eastAsia" w:eastAsia="仿宋" w:cs="Times New Roman"/>
          <w:sz w:val="32"/>
          <w:szCs w:val="32"/>
          <w:lang w:val="en-US" w:eastAsia="zh-CN"/>
        </w:rPr>
      </w:pPr>
      <w:r>
        <w:rPr>
          <w:rFonts w:hint="eastAsia" w:ascii="仿宋_GB2312" w:hAnsi="宋体" w:eastAsia="仿宋_GB2312"/>
          <w:sz w:val="32"/>
          <w:szCs w:val="32"/>
        </w:rPr>
        <w:t>附表：部门预算项目支出绩效自评表（</w:t>
      </w:r>
      <w:r>
        <w:rPr>
          <w:rFonts w:hint="eastAsia" w:ascii="Times New Roman" w:hAnsi="Times New Roman" w:eastAsia="方正仿宋_GBK" w:cs="Times New Roman"/>
          <w:color w:val="000000"/>
          <w:spacing w:val="0"/>
          <w:kern w:val="2"/>
          <w:sz w:val="32"/>
          <w:szCs w:val="32"/>
          <w:lang w:val="en-US" w:eastAsia="zh-CN" w:bidi="ar-SA"/>
        </w:rPr>
        <w:t>2024</w:t>
      </w:r>
      <w:r>
        <w:rPr>
          <w:rFonts w:hint="eastAsia" w:ascii="仿宋_GB2312" w:hAnsi="宋体" w:eastAsia="仿宋_GB2312"/>
          <w:sz w:val="32"/>
          <w:szCs w:val="32"/>
        </w:rPr>
        <w:t>年度）</w:t>
      </w:r>
      <w:r>
        <w:rPr>
          <w:rFonts w:hint="eastAsia" w:eastAsia="仿宋" w:cs="Times New Roman"/>
          <w:sz w:val="32"/>
          <w:szCs w:val="32"/>
          <w:lang w:val="en-US" w:eastAsia="zh-CN"/>
        </w:rPr>
        <w:t>见附</w:t>
      </w:r>
    </w:p>
    <w:p>
      <w:pPr>
        <w:pStyle w:val="55"/>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outlineLvl w:val="9"/>
        <w:rPr>
          <w:rFonts w:ascii="仿宋_GB2312" w:eastAsia="仿宋_GB2312"/>
        </w:rPr>
      </w:pPr>
      <w:r>
        <w:rPr>
          <w:rFonts w:hint="eastAsia" w:eastAsia="仿宋" w:cs="Times New Roman"/>
          <w:sz w:val="32"/>
          <w:szCs w:val="32"/>
          <w:lang w:val="en-US" w:eastAsia="zh-CN"/>
        </w:rPr>
        <w:t xml:space="preserve">      件3</w:t>
      </w:r>
    </w:p>
    <w:p>
      <w:pPr>
        <w:pStyle w:val="22"/>
        <w:rPr>
          <w:rFonts w:hint="eastAsia" w:ascii="Times New Roman" w:hAnsi="Times New Roman" w:eastAsia="方正仿宋_GBK" w:cs="Times New Roman"/>
          <w:color w:val="000000"/>
          <w:spacing w:val="0"/>
          <w:sz w:val="32"/>
          <w:szCs w:val="32"/>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7"/>
        <w:rPr>
          <w:rFonts w:hint="eastAsia" w:eastAsia="仿宋_GB2312"/>
          <w:lang w:val="en-US" w:eastAsia="zh-CN"/>
        </w:rPr>
      </w:pPr>
      <w:bookmarkStart w:id="92" w:name="_Toc9840"/>
      <w:r>
        <w:rPr>
          <w:rFonts w:hint="eastAsia" w:eastAsia="仿宋_GB2312"/>
          <w:sz w:val="32"/>
          <w:lang w:val="en-US" w:eastAsia="zh-CN"/>
        </w:rPr>
        <w:t>附件2</w:t>
      </w:r>
      <w:bookmarkEnd w:id="92"/>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_GBK" w:hAnsi="方正小标宋_GBK" w:eastAsia="方正小标宋_GBK" w:cs="方正小标宋_GBK"/>
          <w:b/>
          <w:bCs/>
          <w:sz w:val="44"/>
          <w:szCs w:val="44"/>
          <w:lang w:val="en-US" w:eastAsia="zh-CN"/>
        </w:rPr>
      </w:pPr>
      <w:r>
        <w:rPr>
          <w:rFonts w:hint="default" w:ascii="Times New Roman" w:hAnsi="Times New Roman" w:eastAsia="方正小标宋_GBK" w:cs="Times New Roman"/>
          <w:b/>
          <w:bCs/>
          <w:sz w:val="44"/>
          <w:szCs w:val="44"/>
          <w:lang w:val="en-US" w:eastAsia="zh-CN"/>
        </w:rPr>
        <w:t>2024</w:t>
      </w:r>
      <w:r>
        <w:rPr>
          <w:rFonts w:hint="eastAsia" w:ascii="方正小标宋_GBK" w:hAnsi="方正小标宋_GBK" w:eastAsia="方正小标宋_GBK" w:cs="方正小标宋_GBK"/>
          <w:b/>
          <w:bCs/>
          <w:sz w:val="44"/>
          <w:szCs w:val="44"/>
          <w:lang w:val="en-US" w:eastAsia="zh-CN"/>
        </w:rPr>
        <w:t>年民族事业发展专项资金</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项目绩效自评报告</w:t>
      </w:r>
    </w:p>
    <w:p>
      <w:pPr>
        <w:pStyle w:val="54"/>
        <w:rPr>
          <w:rFonts w:hint="eastAsia" w:eastAsia="Arial Unicode MS"/>
          <w:lang w:eastAsia="zh-CN"/>
        </w:rPr>
      </w:pPr>
    </w:p>
    <w:p>
      <w:pPr>
        <w:keepNext w:val="0"/>
        <w:keepLines w:val="0"/>
        <w:pageBreakBefore w:val="0"/>
        <w:widowControl w:val="0"/>
        <w:numPr>
          <w:ilvl w:val="0"/>
          <w:numId w:val="0"/>
        </w:numPr>
        <w:kinsoku/>
        <w:wordWrap/>
        <w:overflowPunct/>
        <w:topLinePunct w:val="0"/>
        <w:bidi w:val="0"/>
        <w:adjustRightInd/>
        <w:snapToGrid/>
        <w:spacing w:line="240" w:lineRule="auto"/>
        <w:ind w:firstLine="640" w:firstLineChars="200"/>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一、项目概况</w:t>
      </w:r>
    </w:p>
    <w:p>
      <w:pPr>
        <w:keepNext w:val="0"/>
        <w:keepLines w:val="0"/>
        <w:pageBreakBefore w:val="0"/>
        <w:widowControl w:val="0"/>
        <w:kinsoku/>
        <w:wordWrap/>
        <w:overflowPunct/>
        <w:topLinePunct w:val="0"/>
        <w:autoSpaceDE w:val="0"/>
        <w:autoSpaceDN w:val="0"/>
        <w:bidi w:val="0"/>
        <w:adjustRightInd/>
        <w:snapToGrid/>
        <w:spacing w:line="240" w:lineRule="auto"/>
        <w:ind w:firstLine="642" w:firstLineChars="200"/>
        <w:jc w:val="both"/>
        <w:textAlignment w:val="auto"/>
        <w:rPr>
          <w:rFonts w:hint="eastAsia" w:ascii="方正楷体_GBK" w:hAnsi="方正楷体_GBK" w:eastAsia="方正楷体_GBK" w:cs="方正楷体_GBK"/>
          <w:b/>
          <w:bCs/>
          <w:kern w:val="2"/>
          <w:sz w:val="32"/>
          <w:szCs w:val="32"/>
          <w:lang w:val="en-US" w:eastAsia="zh-CN" w:bidi="ar-SA"/>
        </w:rPr>
      </w:pPr>
      <w:r>
        <w:rPr>
          <w:rFonts w:hint="eastAsia" w:ascii="方正楷体_GBK" w:hAnsi="方正楷体_GBK" w:eastAsia="方正楷体_GBK" w:cs="方正楷体_GBK"/>
          <w:b/>
          <w:bCs/>
          <w:kern w:val="2"/>
          <w:sz w:val="32"/>
          <w:szCs w:val="32"/>
          <w:lang w:val="en-US" w:eastAsia="zh-CN" w:bidi="ar-SA"/>
        </w:rPr>
        <w:t>（一）项目基本情况</w:t>
      </w:r>
    </w:p>
    <w:p>
      <w:pPr>
        <w:keepNext w:val="0"/>
        <w:keepLines w:val="0"/>
        <w:pageBreakBefore w:val="0"/>
        <w:widowControl w:val="0"/>
        <w:kinsoku/>
        <w:wordWrap/>
        <w:overflowPunct/>
        <w:topLinePunct w:val="0"/>
        <w:bidi w:val="0"/>
        <w:adjustRightInd/>
        <w:snapToGrid/>
        <w:spacing w:line="240" w:lineRule="auto"/>
        <w:ind w:firstLine="640" w:firstLineChars="200"/>
        <w:textAlignment w:val="auto"/>
        <w:rPr>
          <w:rFonts w:hint="eastAsia" w:ascii="方正仿宋_GBK" w:hAnsi="方正仿宋_GBK" w:eastAsia="方正仿宋_GBK" w:cs="方正仿宋_GBK"/>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1.</w:t>
      </w:r>
      <w:r>
        <w:rPr>
          <w:rFonts w:hint="eastAsia" w:ascii="方正仿宋_GBK" w:hAnsi="方正仿宋_GBK" w:eastAsia="方正仿宋_GBK" w:cs="方正仿宋_GBK"/>
          <w:kern w:val="2"/>
          <w:sz w:val="32"/>
          <w:szCs w:val="32"/>
          <w:highlight w:val="none"/>
          <w:lang w:val="en-US" w:eastAsia="zh-CN" w:bidi="ar-SA"/>
        </w:rPr>
        <w:t>项目立项、资金申报的依据：</w:t>
      </w:r>
      <w:r>
        <w:rPr>
          <w:rFonts w:hint="eastAsia" w:ascii="方正仿宋_GBK" w:hAnsi="方正仿宋_GBK" w:eastAsia="方正仿宋_GBK" w:cs="方正仿宋_GBK"/>
          <w:color w:val="auto"/>
          <w:sz w:val="32"/>
          <w:szCs w:val="32"/>
          <w:lang w:val="en-US" w:eastAsia="zh-CN"/>
        </w:rPr>
        <w:t>为推进落实《关于实施旅游促进各民族交往交流交融计划的意</w:t>
      </w:r>
      <w:r>
        <w:rPr>
          <w:rFonts w:hint="eastAsia" w:ascii="方正仿宋_GBK" w:hAnsi="方正仿宋_GBK" w:eastAsia="方正仿宋_GBK" w:cs="方正仿宋_GBK"/>
          <w:kern w:val="2"/>
          <w:sz w:val="32"/>
          <w:szCs w:val="32"/>
          <w:highlight w:val="none"/>
          <w:lang w:val="en-US" w:eastAsia="zh-CN" w:bidi="ar-SA"/>
        </w:rPr>
        <w:t>见》,促进川西片区、川滇地区各民族交往交流交融,增强“五个认同”，构筑中华民族共有精神家园，开创民族团结新局面，铸牢中华民族共同体意识。拟计划开展川西片区与川滇地区系列民族文化主题活动，深入挖掘和传播川西及川滇地区的民族手工艺、文化创意产品、推广民族团结旅游线路和开展少数民族传统体育交流体验、铸牢</w:t>
      </w:r>
      <w:r>
        <w:rPr>
          <w:rFonts w:hint="eastAsia" w:ascii="方正仿宋_GBK" w:hAnsi="方正仿宋_GBK" w:eastAsia="方正仿宋_GBK" w:cs="方正仿宋_GBK"/>
          <w:color w:val="auto"/>
          <w:sz w:val="32"/>
          <w:szCs w:val="32"/>
          <w:lang w:val="en-US" w:eastAsia="zh-CN"/>
        </w:rPr>
        <w:t>中华民族共同体意识宣讲员交流培训等活动，增强两地文化产业的互动合作，促进各民族之间的交往、交流与交融，增进相互了解与尊重，共同推动传统文化与现代创意的深度融合，推动地区经济社会的和谐发展。促进各民族之间的交往、交流与交融，共同创造美好的明天。</w:t>
      </w:r>
    </w:p>
    <w:p>
      <w:pPr>
        <w:keepNext w:val="0"/>
        <w:keepLines w:val="0"/>
        <w:pageBreakBefore w:val="0"/>
        <w:widowControl w:val="0"/>
        <w:kinsoku/>
        <w:wordWrap/>
        <w:overflowPunct/>
        <w:topLinePunct w:val="0"/>
        <w:autoSpaceDE w:val="0"/>
        <w:autoSpaceDN w:val="0"/>
        <w:bidi w:val="0"/>
        <w:adjustRightInd/>
        <w:snapToGrid/>
        <w:spacing w:line="240" w:lineRule="auto"/>
        <w:ind w:firstLine="640" w:firstLineChars="200"/>
        <w:jc w:val="both"/>
        <w:textAlignment w:val="auto"/>
        <w:rPr>
          <w:rFonts w:hint="eastAsia" w:ascii="方正仿宋_GBK" w:hAnsi="方正仿宋_GBK" w:eastAsia="方正仿宋_GBK" w:cs="方正仿宋_GBK"/>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2.</w:t>
      </w:r>
      <w:r>
        <w:rPr>
          <w:rFonts w:hint="eastAsia" w:ascii="方正仿宋_GBK" w:hAnsi="方正仿宋_GBK" w:eastAsia="方正仿宋_GBK" w:cs="方正仿宋_GBK"/>
          <w:kern w:val="2"/>
          <w:sz w:val="32"/>
          <w:szCs w:val="32"/>
          <w:highlight w:val="none"/>
          <w:lang w:val="en-US" w:eastAsia="zh-CN" w:bidi="ar-SA"/>
        </w:rPr>
        <w:t>项目</w:t>
      </w:r>
      <w:r>
        <w:rPr>
          <w:rFonts w:hint="eastAsia" w:ascii="方正仿宋_GBK" w:hAnsi="方正仿宋_GBK" w:eastAsia="方正仿宋_GBK" w:cs="方正仿宋_GBK"/>
          <w:kern w:val="2"/>
          <w:sz w:val="32"/>
          <w:szCs w:val="32"/>
          <w:lang w:val="en-US" w:eastAsia="zh-CN" w:bidi="ar-SA"/>
        </w:rPr>
        <w:t>内容：</w:t>
      </w:r>
      <w:r>
        <w:rPr>
          <w:rFonts w:hint="eastAsia" w:ascii="方正仿宋_GBK" w:hAnsi="方正仿宋_GBK" w:eastAsia="方正仿宋_GBK" w:cs="方正仿宋_GBK"/>
          <w:kern w:val="2"/>
          <w:sz w:val="32"/>
          <w:szCs w:val="32"/>
          <w:highlight w:val="none"/>
          <w:lang w:val="en-US" w:eastAsia="zh-CN" w:bidi="ar-SA"/>
        </w:rPr>
        <w:t>开展民族手工艺及特色文创产品交流推广、少数民族传统体育交流体验项目、民族团结旅游线路推介活动、铸牢中华民族共同体意识宣讲员交流培训。</w:t>
      </w:r>
    </w:p>
    <w:p>
      <w:pPr>
        <w:pStyle w:val="8"/>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方正楷体_GBK" w:hAnsi="方正楷体_GBK" w:eastAsia="方正楷体_GBK" w:cs="方正楷体_GBK"/>
          <w:b/>
          <w:bCs/>
          <w:kern w:val="2"/>
          <w:sz w:val="32"/>
          <w:szCs w:val="32"/>
          <w:lang w:val="en-US" w:eastAsia="zh-CN" w:bidi="ar-SA"/>
        </w:rPr>
      </w:pPr>
      <w:r>
        <w:rPr>
          <w:rFonts w:hint="eastAsia" w:ascii="方正楷体_GBK" w:hAnsi="方正楷体_GBK" w:eastAsia="方正楷体_GBK" w:cs="方正楷体_GBK"/>
          <w:b/>
          <w:bCs/>
          <w:kern w:val="2"/>
          <w:sz w:val="32"/>
          <w:szCs w:val="32"/>
          <w:lang w:val="en-US" w:eastAsia="zh-CN" w:bidi="ar-SA"/>
        </w:rPr>
        <w:t>（二）项目绩效目标</w:t>
      </w:r>
    </w:p>
    <w:p>
      <w:pPr>
        <w:pStyle w:val="8"/>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落实文化和旅游部、国家民委、国家发展改革委印发《关于实施旅游促进各民族交往交流交融计划意见》，促进川西片区、川滇地区各民族进一步交往交流交融、增强“五个认同”，构筑中华民族共有精神家园，开创民族团结新局面，铸牢中华民族共同体意识。</w:t>
      </w:r>
    </w:p>
    <w:p>
      <w:pPr>
        <w:keepNext w:val="0"/>
        <w:keepLines w:val="0"/>
        <w:pageBreakBefore w:val="0"/>
        <w:widowControl w:val="0"/>
        <w:numPr>
          <w:ilvl w:val="0"/>
          <w:numId w:val="0"/>
        </w:numPr>
        <w:kinsoku/>
        <w:wordWrap/>
        <w:overflowPunct/>
        <w:topLinePunct w:val="0"/>
        <w:bidi w:val="0"/>
        <w:adjustRightInd/>
        <w:snapToGrid/>
        <w:spacing w:line="240" w:lineRule="auto"/>
        <w:ind w:firstLine="640" w:firstLineChars="200"/>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二、项目资金申报及使用情况</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642" w:firstLineChars="200"/>
        <w:jc w:val="both"/>
        <w:textAlignment w:val="auto"/>
        <w:outlineLvl w:val="9"/>
        <w:rPr>
          <w:rFonts w:hint="eastAsia" w:ascii="方正楷体_GBK" w:hAnsi="方正楷体_GBK" w:eastAsia="方正楷体_GBK" w:cs="方正楷体_GBK"/>
          <w:b/>
          <w:caps w:val="0"/>
          <w:color w:val="auto"/>
          <w:sz w:val="32"/>
          <w:szCs w:val="32"/>
          <w:vertAlign w:val="baseline"/>
          <w:lang w:val="zh-CN"/>
        </w:rPr>
      </w:pPr>
      <w:r>
        <w:rPr>
          <w:rFonts w:hint="eastAsia" w:ascii="方正楷体_GBK" w:hAnsi="方正楷体_GBK" w:eastAsia="方正楷体_GBK" w:cs="方正楷体_GBK"/>
          <w:b/>
          <w:bCs w:val="0"/>
          <w:caps w:val="0"/>
          <w:color w:val="auto"/>
          <w:kern w:val="2"/>
          <w:sz w:val="32"/>
          <w:szCs w:val="32"/>
          <w:vertAlign w:val="baseline"/>
          <w:lang w:val="zh-CN" w:eastAsia="zh-CN" w:bidi="ar"/>
        </w:rPr>
        <w:t>（一）项目资金申报及批复情况</w:t>
      </w:r>
    </w:p>
    <w:p>
      <w:pPr>
        <w:keepNext w:val="0"/>
        <w:keepLines w:val="0"/>
        <w:pageBreakBefore w:val="0"/>
        <w:widowControl w:val="0"/>
        <w:numPr>
          <w:ilvl w:val="0"/>
          <w:numId w:val="0"/>
        </w:numPr>
        <w:kinsoku/>
        <w:wordWrap/>
        <w:overflowPunct/>
        <w:topLinePunct w:val="0"/>
        <w:bidi w:val="0"/>
        <w:adjustRightInd/>
        <w:snapToGrid/>
        <w:spacing w:line="240" w:lineRule="auto"/>
        <w:ind w:firstLine="640"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kern w:val="2"/>
          <w:sz w:val="32"/>
          <w:szCs w:val="32"/>
          <w:highlight w:val="none"/>
          <w:lang w:val="en-US" w:eastAsia="zh-CN" w:bidi="ar-SA"/>
        </w:rPr>
        <w:t>计划</w:t>
      </w:r>
      <w:r>
        <w:rPr>
          <w:rFonts w:hint="eastAsia" w:ascii="Times New Roman" w:hAnsi="Times New Roman" w:eastAsia="方正仿宋_GBK" w:cs="Times New Roman"/>
          <w:kern w:val="2"/>
          <w:sz w:val="32"/>
          <w:szCs w:val="32"/>
          <w:highlight w:val="none"/>
          <w:lang w:val="en-US" w:eastAsia="zh-CN" w:bidi="ar-SA"/>
        </w:rPr>
        <w:t>总投资40万元，争取四川省民族事业发展专项资金到位40万</w:t>
      </w:r>
      <w:r>
        <w:rPr>
          <w:rFonts w:hint="eastAsia" w:ascii="方正仿宋_GBK" w:hAnsi="方正仿宋_GBK" w:eastAsia="方正仿宋_GBK" w:cs="方正仿宋_GBK"/>
          <w:kern w:val="2"/>
          <w:sz w:val="32"/>
          <w:szCs w:val="32"/>
          <w:highlight w:val="none"/>
          <w:lang w:val="en-US" w:eastAsia="zh-CN" w:bidi="ar-SA"/>
        </w:rPr>
        <w:t>元。</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642" w:firstLineChars="200"/>
        <w:jc w:val="both"/>
        <w:textAlignment w:val="auto"/>
        <w:outlineLvl w:val="9"/>
        <w:rPr>
          <w:sz w:val="32"/>
          <w:szCs w:val="32"/>
        </w:rPr>
      </w:pPr>
      <w:r>
        <w:rPr>
          <w:rFonts w:hint="default" w:ascii="Times New Roman" w:hAnsi="Times New Roman" w:eastAsia="楷体_GB2312" w:cs="楷体_GB2312"/>
          <w:b/>
          <w:bCs w:val="0"/>
          <w:caps w:val="0"/>
          <w:color w:val="auto"/>
          <w:kern w:val="2"/>
          <w:sz w:val="32"/>
          <w:szCs w:val="32"/>
          <w:vertAlign w:val="baseline"/>
          <w:lang w:val="zh-CN" w:eastAsia="zh-CN" w:bidi="ar"/>
        </w:rPr>
        <w:t>（二）资金计划、到位及使用情况</w:t>
      </w:r>
    </w:p>
    <w:p>
      <w:pPr>
        <w:keepNext w:val="0"/>
        <w:keepLines w:val="0"/>
        <w:pageBreakBefore w:val="0"/>
        <w:widowControl w:val="0"/>
        <w:numPr>
          <w:ilvl w:val="0"/>
          <w:numId w:val="0"/>
        </w:numPr>
        <w:kinsoku/>
        <w:wordWrap/>
        <w:overflowPunct/>
        <w:topLinePunct w:val="0"/>
        <w:bidi w:val="0"/>
        <w:adjustRightInd/>
        <w:snapToGrid/>
        <w:spacing w:line="240" w:lineRule="auto"/>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该项目资金</w:t>
      </w:r>
      <w:r>
        <w:rPr>
          <w:rFonts w:hint="eastAsia" w:ascii="方正仿宋_GBK" w:hAnsi="方正仿宋_GBK" w:eastAsia="方正仿宋_GBK" w:cs="方正仿宋_GBK"/>
          <w:kern w:val="2"/>
          <w:sz w:val="32"/>
          <w:szCs w:val="32"/>
          <w:highlight w:val="none"/>
          <w:lang w:val="en-US" w:eastAsia="zh-CN" w:bidi="ar-SA"/>
        </w:rPr>
        <w:t>于</w:t>
      </w:r>
      <w:r>
        <w:rPr>
          <w:rFonts w:hint="default" w:ascii="Times New Roman" w:hAnsi="Times New Roman" w:eastAsia="方正仿宋_GBK" w:cs="Times New Roman"/>
          <w:kern w:val="2"/>
          <w:sz w:val="32"/>
          <w:szCs w:val="32"/>
          <w:highlight w:val="none"/>
          <w:lang w:val="en-US" w:eastAsia="zh-CN" w:bidi="ar-SA"/>
        </w:rPr>
        <w:t>2024</w:t>
      </w:r>
      <w:r>
        <w:rPr>
          <w:rFonts w:hint="eastAsia" w:ascii="方正仿宋_GBK" w:hAnsi="方正仿宋_GBK" w:eastAsia="方正仿宋_GBK" w:cs="方正仿宋_GBK"/>
          <w:kern w:val="2"/>
          <w:sz w:val="32"/>
          <w:szCs w:val="32"/>
          <w:highlight w:val="none"/>
          <w:lang w:val="en-US" w:eastAsia="zh-CN" w:bidi="ar-SA"/>
        </w:rPr>
        <w:t>年</w:t>
      </w:r>
      <w:r>
        <w:rPr>
          <w:rFonts w:hint="eastAsia" w:ascii="Times New Roman" w:hAnsi="Times New Roman" w:eastAsia="方正仿宋_GBK" w:cs="Times New Roman"/>
          <w:kern w:val="2"/>
          <w:sz w:val="32"/>
          <w:szCs w:val="32"/>
          <w:highlight w:val="none"/>
          <w:lang w:val="en-US" w:eastAsia="zh-CN" w:bidi="ar-SA"/>
        </w:rPr>
        <w:t>8月下达资金（川财行〔2024〕16号），2024年已拨付项目资金4.94万元，资金拨付率12.4%，</w:t>
      </w:r>
      <w:r>
        <w:rPr>
          <w:rFonts w:hint="eastAsia" w:ascii="方正仿宋_GBK" w:hAnsi="方正仿宋_GBK" w:eastAsia="方正仿宋_GBK" w:cs="方正仿宋_GBK"/>
          <w:kern w:val="2"/>
          <w:sz w:val="32"/>
          <w:szCs w:val="32"/>
          <w:lang w:val="en-US" w:eastAsia="zh-CN" w:bidi="ar-SA"/>
        </w:rPr>
        <w:t>主要用于举办攀枝花市民族团结杯篮球赛。</w:t>
      </w:r>
    </w:p>
    <w:p>
      <w:pPr>
        <w:pStyle w:val="8"/>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方正楷体_GBK" w:hAnsi="方正楷体_GBK" w:eastAsia="方正楷体_GBK" w:cs="方正楷体_GBK"/>
          <w:b/>
          <w:bCs/>
          <w:kern w:val="2"/>
          <w:sz w:val="32"/>
          <w:szCs w:val="32"/>
          <w:lang w:val="en-US" w:eastAsia="zh-CN" w:bidi="ar-SA"/>
        </w:rPr>
      </w:pPr>
      <w:r>
        <w:rPr>
          <w:rFonts w:hint="eastAsia" w:ascii="方正楷体_GBK" w:hAnsi="方正楷体_GBK" w:eastAsia="方正楷体_GBK" w:cs="方正楷体_GBK"/>
          <w:b/>
          <w:bCs/>
          <w:kern w:val="2"/>
          <w:sz w:val="32"/>
          <w:szCs w:val="32"/>
          <w:lang w:val="en-US" w:eastAsia="zh-CN" w:bidi="ar-SA"/>
        </w:rPr>
        <w:t>（三）项目财务管理情况</w:t>
      </w:r>
    </w:p>
    <w:p>
      <w:pPr>
        <w:pStyle w:val="22"/>
        <w:keepNext w:val="0"/>
        <w:keepLines w:val="0"/>
        <w:pageBreakBefore w:val="0"/>
        <w:widowControl w:val="0"/>
        <w:kinsoku/>
        <w:wordWrap/>
        <w:overflowPunct/>
        <w:topLinePunct w:val="0"/>
        <w:autoSpaceDE w:val="0"/>
        <w:autoSpaceDN w:val="0"/>
        <w:bidi w:val="0"/>
        <w:adjustRightInd/>
        <w:snapToGrid/>
        <w:ind w:firstLine="640" w:firstLineChars="200"/>
        <w:textAlignment w:val="auto"/>
        <w:rPr>
          <w:rFonts w:hint="eastAsia"/>
          <w:sz w:val="32"/>
          <w:szCs w:val="32"/>
          <w:lang w:val="en-US" w:eastAsia="zh-CN"/>
        </w:rPr>
      </w:pPr>
      <w:r>
        <w:rPr>
          <w:rFonts w:hint="eastAsia" w:ascii="方正仿宋_GBK" w:hAnsi="方正仿宋_GBK" w:eastAsia="方正仿宋_GBK" w:cs="方正仿宋_GBK"/>
          <w:kern w:val="2"/>
          <w:sz w:val="32"/>
          <w:szCs w:val="32"/>
          <w:highlight w:val="none"/>
          <w:lang w:val="en-US" w:eastAsia="zh-CN" w:bidi="ar-SA"/>
        </w:rPr>
        <w:t>该项目下达资金</w:t>
      </w:r>
      <w:r>
        <w:rPr>
          <w:rFonts w:hint="default" w:ascii="Times New Roman" w:hAnsi="Times New Roman" w:eastAsia="仿宋_GB2312" w:cs="Times New Roman"/>
          <w:kern w:val="2"/>
          <w:sz w:val="32"/>
          <w:szCs w:val="32"/>
          <w:highlight w:val="none"/>
          <w:lang w:val="en-US" w:eastAsia="zh-CN" w:bidi="ar-SA"/>
        </w:rPr>
        <w:t>40</w:t>
      </w:r>
      <w:r>
        <w:rPr>
          <w:rFonts w:hint="eastAsia" w:ascii="方正仿宋_GBK" w:hAnsi="方正仿宋_GBK" w:eastAsia="方正仿宋_GBK" w:cs="方正仿宋_GBK"/>
          <w:kern w:val="2"/>
          <w:sz w:val="32"/>
          <w:szCs w:val="32"/>
          <w:highlight w:val="none"/>
          <w:lang w:val="en-US" w:eastAsia="zh-CN" w:bidi="ar-SA"/>
        </w:rPr>
        <w:t>万元，我委按照要求，立即组织项目实施，</w:t>
      </w:r>
      <w:r>
        <w:rPr>
          <w:rFonts w:hint="eastAsia" w:ascii="方正仿宋_GBK" w:hAnsi="方正仿宋_GBK" w:eastAsia="方正仿宋_GBK" w:cs="方正仿宋_GBK"/>
          <w:kern w:val="2"/>
          <w:sz w:val="32"/>
          <w:szCs w:val="32"/>
          <w:highlight w:val="none"/>
          <w:lang w:val="zh-CN" w:eastAsia="zh-CN" w:bidi="ar-SA"/>
        </w:rPr>
        <w:t>符合资金管理办法等相关规定。申报内容与与具体实施内容相符、申报目标合理可行。</w:t>
      </w:r>
    </w:p>
    <w:p>
      <w:pPr>
        <w:keepNext w:val="0"/>
        <w:keepLines w:val="0"/>
        <w:pageBreakBefore w:val="0"/>
        <w:widowControl w:val="0"/>
        <w:numPr>
          <w:ilvl w:val="0"/>
          <w:numId w:val="0"/>
        </w:numPr>
        <w:kinsoku/>
        <w:wordWrap/>
        <w:overflowPunct/>
        <w:topLinePunct w:val="0"/>
        <w:bidi w:val="0"/>
        <w:adjustRightInd/>
        <w:snapToGrid/>
        <w:spacing w:line="240" w:lineRule="auto"/>
        <w:ind w:firstLine="640" w:firstLineChars="200"/>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三、项目实施及管理情况</w:t>
      </w:r>
    </w:p>
    <w:p>
      <w:pPr>
        <w:keepNext w:val="0"/>
        <w:keepLines w:val="0"/>
        <w:pageBreakBefore w:val="0"/>
        <w:widowControl w:val="0"/>
        <w:numPr>
          <w:ilvl w:val="0"/>
          <w:numId w:val="0"/>
        </w:numPr>
        <w:kinsoku/>
        <w:wordWrap/>
        <w:overflowPunct/>
        <w:topLinePunct w:val="0"/>
        <w:bidi w:val="0"/>
        <w:adjustRightInd/>
        <w:snapToGrid/>
        <w:spacing w:line="240" w:lineRule="auto"/>
        <w:ind w:firstLine="642" w:firstLineChars="200"/>
        <w:jc w:val="both"/>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（一）项目管理情况</w:t>
      </w:r>
    </w:p>
    <w:p>
      <w:pPr>
        <w:keepNext w:val="0"/>
        <w:keepLines w:val="0"/>
        <w:pageBreakBefore w:val="0"/>
        <w:widowControl w:val="0"/>
        <w:kinsoku/>
        <w:wordWrap/>
        <w:overflowPunct/>
        <w:topLinePunct w:val="0"/>
        <w:bidi w:val="0"/>
        <w:adjustRightInd/>
        <w:snapToGrid/>
        <w:spacing w:line="240" w:lineRule="auto"/>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color w:val="auto"/>
          <w:sz w:val="32"/>
          <w:szCs w:val="32"/>
          <w:lang w:val="en-US" w:eastAsia="zh-CN"/>
        </w:rPr>
        <w:t>为了切实做好该项目，我委成立项目实施小组，具体负责该项目的组织、统筹、协调、技术指导以及进展情况收集、总结和上报等工作。领导小组下设办公室，办公室设在市民族宗教委民族事务科，由副组长呼啸负责项目实施和管理工作，负责项目开展、资料收集、竣工验收等工作。</w:t>
      </w:r>
      <w:r>
        <w:rPr>
          <w:rFonts w:hint="eastAsia" w:ascii="方正仿宋_GBK" w:hAnsi="方正仿宋_GBK" w:eastAsia="方正仿宋_GBK" w:cs="方正仿宋_GBK"/>
          <w:kern w:val="2"/>
          <w:sz w:val="32"/>
          <w:szCs w:val="32"/>
          <w:lang w:val="en-US" w:eastAsia="zh-CN" w:bidi="ar-SA"/>
        </w:rPr>
        <w:t>按时间、保质量、积极组织实施。</w:t>
      </w:r>
    </w:p>
    <w:p>
      <w:pPr>
        <w:keepNext w:val="0"/>
        <w:keepLines w:val="0"/>
        <w:pageBreakBefore w:val="0"/>
        <w:widowControl w:val="0"/>
        <w:numPr>
          <w:ilvl w:val="0"/>
          <w:numId w:val="0"/>
        </w:numPr>
        <w:kinsoku/>
        <w:wordWrap/>
        <w:overflowPunct/>
        <w:topLinePunct w:val="0"/>
        <w:bidi w:val="0"/>
        <w:adjustRightInd/>
        <w:snapToGrid/>
        <w:spacing w:line="240" w:lineRule="auto"/>
        <w:ind w:firstLine="642" w:firstLineChars="200"/>
        <w:jc w:val="both"/>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（二）项目实施流程</w:t>
      </w:r>
    </w:p>
    <w:p>
      <w:pPr>
        <w:keepNext w:val="0"/>
        <w:keepLines w:val="0"/>
        <w:pageBreakBefore w:val="0"/>
        <w:widowControl w:val="0"/>
        <w:kinsoku/>
        <w:wordWrap/>
        <w:overflowPunct/>
        <w:topLinePunct w:val="0"/>
        <w:autoSpaceDE w:val="0"/>
        <w:autoSpaceDN w:val="0"/>
        <w:bidi w:val="0"/>
        <w:adjustRightInd/>
        <w:snapToGrid/>
        <w:spacing w:line="240" w:lineRule="auto"/>
        <w:ind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本项目分三个项目实施，由我委通过比选选</w:t>
      </w:r>
      <w:r>
        <w:rPr>
          <w:rFonts w:hint="eastAsia" w:ascii="方正仿宋_GBK" w:hAnsi="方正仿宋_GBK" w:eastAsia="方正仿宋_GBK" w:cs="方正仿宋_GBK"/>
          <w:kern w:val="2"/>
          <w:sz w:val="32"/>
          <w:szCs w:val="32"/>
          <w:highlight w:val="none"/>
          <w:lang w:val="en-US" w:eastAsia="zh-CN" w:bidi="ar-SA"/>
        </w:rPr>
        <w:t>取3家</w:t>
      </w:r>
      <w:r>
        <w:rPr>
          <w:rFonts w:hint="eastAsia" w:ascii="方正仿宋_GBK" w:hAnsi="方正仿宋_GBK" w:eastAsia="方正仿宋_GBK" w:cs="方正仿宋_GBK"/>
          <w:kern w:val="2"/>
          <w:sz w:val="32"/>
          <w:szCs w:val="32"/>
          <w:lang w:val="en-US" w:eastAsia="zh-CN" w:bidi="ar-SA"/>
        </w:rPr>
        <w:t>实施单位，坚持以公开、公平、公正和诚信原则组织项目实施。</w:t>
      </w:r>
    </w:p>
    <w:p>
      <w:pPr>
        <w:keepNext w:val="0"/>
        <w:keepLines w:val="0"/>
        <w:pageBreakBefore w:val="0"/>
        <w:widowControl w:val="0"/>
        <w:numPr>
          <w:ilvl w:val="0"/>
          <w:numId w:val="0"/>
        </w:numPr>
        <w:kinsoku/>
        <w:wordWrap/>
        <w:overflowPunct/>
        <w:topLinePunct w:val="0"/>
        <w:bidi w:val="0"/>
        <w:adjustRightInd/>
        <w:snapToGrid/>
        <w:spacing w:line="240" w:lineRule="auto"/>
        <w:ind w:firstLine="640" w:firstLineChars="200"/>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四、项目绩效情况</w:t>
      </w:r>
    </w:p>
    <w:p>
      <w:pPr>
        <w:keepNext w:val="0"/>
        <w:keepLines w:val="0"/>
        <w:pageBreakBefore w:val="0"/>
        <w:widowControl w:val="0"/>
        <w:numPr>
          <w:ilvl w:val="0"/>
          <w:numId w:val="0"/>
        </w:numPr>
        <w:kinsoku/>
        <w:wordWrap/>
        <w:overflowPunct/>
        <w:topLinePunct w:val="0"/>
        <w:bidi w:val="0"/>
        <w:adjustRightInd/>
        <w:snapToGrid/>
        <w:spacing w:line="240" w:lineRule="auto"/>
        <w:ind w:firstLine="642" w:firstLineChars="200"/>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（一）项目完成情况</w:t>
      </w:r>
    </w:p>
    <w:p>
      <w:pPr>
        <w:keepNext w:val="0"/>
        <w:keepLines w:val="0"/>
        <w:pageBreakBefore w:val="0"/>
        <w:widowControl w:val="0"/>
        <w:kinsoku/>
        <w:wordWrap/>
        <w:overflowPunct/>
        <w:topLinePunct w:val="0"/>
        <w:autoSpaceDE w:val="0"/>
        <w:autoSpaceDN w:val="0"/>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kern w:val="2"/>
          <w:sz w:val="32"/>
          <w:szCs w:val="32"/>
          <w:lang w:val="en-US" w:eastAsia="zh-CN" w:bidi="ar-SA"/>
        </w:rPr>
        <w:t>该项</w:t>
      </w:r>
      <w:r>
        <w:rPr>
          <w:rFonts w:hint="eastAsia" w:ascii="方正仿宋_GBK" w:hAnsi="方正仿宋_GBK" w:eastAsia="方正仿宋_GBK" w:cs="方正仿宋_GBK"/>
          <w:kern w:val="2"/>
          <w:sz w:val="32"/>
          <w:szCs w:val="32"/>
          <w:highlight w:val="none"/>
          <w:lang w:val="en-US" w:eastAsia="zh-CN" w:bidi="ar-SA"/>
        </w:rPr>
        <w:t>目</w:t>
      </w:r>
      <w:r>
        <w:rPr>
          <w:rFonts w:hint="default" w:ascii="Times New Roman" w:hAnsi="Times New Roman" w:eastAsia="方正仿宋_GBK" w:cs="Times New Roman"/>
          <w:kern w:val="2"/>
          <w:sz w:val="32"/>
          <w:szCs w:val="32"/>
          <w:highlight w:val="none"/>
          <w:lang w:val="en-US" w:eastAsia="zh-CN" w:bidi="ar-SA"/>
        </w:rPr>
        <w:t>2024</w:t>
      </w:r>
      <w:r>
        <w:rPr>
          <w:rFonts w:hint="eastAsia" w:ascii="方正仿宋_GBK" w:hAnsi="方正仿宋_GBK" w:eastAsia="方正仿宋_GBK" w:cs="方正仿宋_GBK"/>
          <w:kern w:val="2"/>
          <w:sz w:val="32"/>
          <w:szCs w:val="32"/>
          <w:highlight w:val="none"/>
          <w:lang w:val="en-US" w:eastAsia="zh-CN" w:bidi="ar-SA"/>
        </w:rPr>
        <w:t>年</w:t>
      </w:r>
      <w:r>
        <w:rPr>
          <w:rFonts w:hint="eastAsia" w:ascii="方正仿宋_GBK" w:hAnsi="方正仿宋_GBK" w:eastAsia="方正仿宋_GBK" w:cs="方正仿宋_GBK"/>
          <w:kern w:val="2"/>
          <w:sz w:val="32"/>
          <w:szCs w:val="32"/>
          <w:lang w:val="en-US" w:eastAsia="zh-CN" w:bidi="ar-SA"/>
        </w:rPr>
        <w:t>启动筹划</w:t>
      </w:r>
      <w:r>
        <w:rPr>
          <w:rFonts w:hint="eastAsia" w:ascii="方正仿宋_GBK" w:hAnsi="方正仿宋_GBK" w:eastAsia="方正仿宋_GBK" w:cs="方正仿宋_GBK"/>
          <w:kern w:val="2"/>
          <w:sz w:val="32"/>
          <w:szCs w:val="32"/>
          <w:highlight w:val="none"/>
          <w:lang w:val="en-US" w:eastAsia="zh-CN" w:bidi="ar-SA"/>
        </w:rPr>
        <w:t>，拟开展</w:t>
      </w:r>
      <w:r>
        <w:rPr>
          <w:rFonts w:hint="eastAsia" w:ascii="Times New Roman" w:hAnsi="Times New Roman" w:eastAsia="方正仿宋_GBK" w:cs="Times New Roman"/>
          <w:kern w:val="2"/>
          <w:sz w:val="32"/>
          <w:szCs w:val="32"/>
          <w:highlight w:val="none"/>
          <w:lang w:val="en-US" w:eastAsia="zh-CN" w:bidi="ar-SA"/>
        </w:rPr>
        <w:t>4个项目活动，已开展完成3个项目，2024年资金仅拨付到位1个项目—攀枝花市民族团结杯篮球赛4.94万元，资金拨付率12.4%，完成部分绩效目标，剩余资金计划2025年完成全</w:t>
      </w:r>
      <w:r>
        <w:rPr>
          <w:rFonts w:hint="eastAsia" w:ascii="方正仿宋_GBK" w:hAnsi="方正仿宋_GBK" w:eastAsia="方正仿宋_GBK" w:cs="方正仿宋_GBK"/>
          <w:kern w:val="2"/>
          <w:sz w:val="32"/>
          <w:szCs w:val="32"/>
          <w:highlight w:val="none"/>
          <w:lang w:val="en-US" w:eastAsia="zh-CN" w:bidi="ar-SA"/>
        </w:rPr>
        <w:t>部支付工作。</w:t>
      </w:r>
    </w:p>
    <w:p>
      <w:pPr>
        <w:pStyle w:val="9"/>
        <w:keepNext w:val="0"/>
        <w:keepLines w:val="0"/>
        <w:pageBreakBefore w:val="0"/>
        <w:widowControl w:val="0"/>
        <w:kinsoku/>
        <w:wordWrap/>
        <w:overflowPunct/>
        <w:topLinePunct w:val="0"/>
        <w:bidi w:val="0"/>
        <w:adjustRightInd/>
        <w:snapToGrid/>
        <w:spacing w:line="240" w:lineRule="auto"/>
        <w:ind w:firstLine="642"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b/>
          <w:bCs/>
          <w:kern w:val="2"/>
          <w:sz w:val="32"/>
          <w:szCs w:val="32"/>
          <w:lang w:val="en-US" w:eastAsia="zh-CN" w:bidi="ar-SA"/>
        </w:rPr>
        <w:t>（二）项目效益情况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2" w:firstLineChars="200"/>
        <w:textAlignment w:val="auto"/>
        <w:rPr>
          <w:rFonts w:hint="eastAsia" w:ascii="方正仿宋_GBK" w:hAnsi="方正仿宋_GBK" w:eastAsia="方正仿宋_GBK" w:cs="方正仿宋_GBK"/>
          <w:color w:val="000000"/>
          <w:kern w:val="2"/>
          <w:sz w:val="32"/>
          <w:szCs w:val="32"/>
          <w:highlight w:val="none"/>
          <w:lang w:val="en-US" w:eastAsia="zh-CN" w:bidi="ar-SA"/>
        </w:rPr>
      </w:pPr>
      <w:r>
        <w:rPr>
          <w:rFonts w:hint="eastAsia" w:ascii="方正仿宋_GBK" w:hAnsi="方正仿宋_GBK" w:eastAsia="方正仿宋_GBK" w:cs="方正仿宋_GBK"/>
          <w:b/>
          <w:bCs/>
          <w:color w:val="000000"/>
          <w:kern w:val="2"/>
          <w:sz w:val="32"/>
          <w:szCs w:val="32"/>
          <w:highlight w:val="none"/>
          <w:lang w:val="en-US" w:eastAsia="zh-CN" w:bidi="ar-SA"/>
        </w:rPr>
        <w:t>一是</w:t>
      </w:r>
      <w:r>
        <w:rPr>
          <w:rFonts w:hint="eastAsia" w:ascii="方正仿宋_GBK" w:hAnsi="方正仿宋_GBK" w:eastAsia="方正仿宋_GBK" w:cs="方正仿宋_GBK"/>
          <w:color w:val="000000"/>
          <w:kern w:val="2"/>
          <w:sz w:val="32"/>
          <w:szCs w:val="32"/>
          <w:highlight w:val="none"/>
          <w:lang w:val="en-US" w:eastAsia="zh-CN" w:bidi="ar-SA"/>
        </w:rPr>
        <w:t>经济增收：通过民族团结旅游线路推介，吸引更多游客前往川西片区与川滇地区。特色旅游线路将自然景观与民族文化深度融合，推动当地旅游业发展，刺激旅游消费。游客的到来带动酒店、餐饮、交通等相关产业，为当地创造更多就业岗位，增加居民收入。民族手工艺及特色文创产品交流推广活动，拓展销售渠道，助力产品市场化，促进文化产业发展，创造可观经济效益。</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2" w:firstLineChars="200"/>
        <w:textAlignment w:val="auto"/>
        <w:rPr>
          <w:rFonts w:hint="eastAsia" w:ascii="方正仿宋_GBK" w:hAnsi="方正仿宋_GBK" w:eastAsia="方正仿宋_GBK" w:cs="方正仿宋_GBK"/>
          <w:color w:val="000000"/>
          <w:kern w:val="2"/>
          <w:sz w:val="32"/>
          <w:szCs w:val="32"/>
          <w:highlight w:val="none"/>
          <w:lang w:val="en-US" w:eastAsia="zh-CN" w:bidi="ar-SA"/>
        </w:rPr>
      </w:pPr>
      <w:r>
        <w:rPr>
          <w:rFonts w:hint="eastAsia" w:ascii="方正仿宋_GBK" w:hAnsi="方正仿宋_GBK" w:eastAsia="方正仿宋_GBK" w:cs="方正仿宋_GBK"/>
          <w:b/>
          <w:bCs/>
          <w:color w:val="000000"/>
          <w:kern w:val="2"/>
          <w:sz w:val="32"/>
          <w:szCs w:val="32"/>
          <w:highlight w:val="none"/>
          <w:lang w:val="en-US" w:eastAsia="zh-CN" w:bidi="ar-SA"/>
        </w:rPr>
        <w:t>二是</w:t>
      </w:r>
      <w:r>
        <w:rPr>
          <w:rFonts w:hint="eastAsia" w:ascii="方正仿宋_GBK" w:hAnsi="方正仿宋_GBK" w:eastAsia="方正仿宋_GBK" w:cs="方正仿宋_GBK"/>
          <w:color w:val="000000"/>
          <w:kern w:val="2"/>
          <w:sz w:val="32"/>
          <w:szCs w:val="32"/>
          <w:highlight w:val="none"/>
          <w:lang w:val="en-US" w:eastAsia="zh-CN" w:bidi="ar-SA"/>
        </w:rPr>
        <w:t>各民族交往交流交融：系列活动为各民族搭建广阔交流平台。少数民族传统体育交流体验活动中，各族群众同场竞技，增进彼此了解与信任。铸牢中华民族共同体意识宣讲员交流培训，加强不同民族间思想文化交流。民族文化主题活动让各民族相互欣赏、学习文化，消除文化隔阂，促进民族大团结。</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2" w:firstLineChars="200"/>
        <w:textAlignment w:val="auto"/>
        <w:rPr>
          <w:rFonts w:hint="eastAsia" w:ascii="方正仿宋_GBK" w:hAnsi="方正仿宋_GBK" w:eastAsia="方正仿宋_GBK" w:cs="方正仿宋_GBK"/>
          <w:color w:val="000000"/>
          <w:kern w:val="2"/>
          <w:sz w:val="32"/>
          <w:szCs w:val="32"/>
          <w:highlight w:val="none"/>
          <w:lang w:val="en-US" w:eastAsia="zh-CN" w:bidi="ar-SA"/>
        </w:rPr>
      </w:pPr>
      <w:r>
        <w:rPr>
          <w:rFonts w:hint="eastAsia" w:ascii="方正仿宋_GBK" w:hAnsi="方正仿宋_GBK" w:eastAsia="方正仿宋_GBK" w:cs="方正仿宋_GBK"/>
          <w:b/>
          <w:bCs/>
          <w:color w:val="000000"/>
          <w:kern w:val="2"/>
          <w:sz w:val="32"/>
          <w:szCs w:val="32"/>
          <w:highlight w:val="none"/>
          <w:lang w:val="en-US" w:eastAsia="zh-CN" w:bidi="ar-SA"/>
        </w:rPr>
        <w:t>三是</w:t>
      </w:r>
      <w:r>
        <w:rPr>
          <w:rFonts w:hint="eastAsia" w:ascii="方正仿宋_GBK" w:hAnsi="方正仿宋_GBK" w:eastAsia="方正仿宋_GBK" w:cs="方正仿宋_GBK"/>
          <w:color w:val="000000"/>
          <w:kern w:val="2"/>
          <w:sz w:val="32"/>
          <w:szCs w:val="32"/>
          <w:highlight w:val="none"/>
          <w:lang w:val="en-US" w:eastAsia="zh-CN" w:bidi="ar-SA"/>
        </w:rPr>
        <w:t>铸牢中华民族共同体意识：在各项活动中，不断强化“五个认同”教育，让各民族深刻认识到中华民族是命运共同体。无论是旅游线路推介中展现的多元民族文化，还是宣讲员培训传播的共同体理念，都使铸牢中华民族共同体意识深入人心，增强民族凝聚力和向心力，为实现中华民族伟大复兴中国梦奠定坚实思想基础，推动地区经济社会和谐稳定发展。</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640" w:firstLineChars="200"/>
        <w:jc w:val="both"/>
        <w:textAlignment w:val="auto"/>
        <w:outlineLvl w:val="9"/>
        <w:rPr>
          <w:rFonts w:hint="eastAsia" w:ascii="方正黑体_GBK" w:hAnsi="方正黑体_GBK" w:eastAsia="方正黑体_GBK" w:cs="方正黑体_GBK"/>
          <w:caps w:val="0"/>
          <w:color w:val="auto"/>
          <w:sz w:val="32"/>
          <w:szCs w:val="32"/>
          <w:vertAlign w:val="baseline"/>
        </w:rPr>
      </w:pPr>
      <w:r>
        <w:rPr>
          <w:rFonts w:hint="eastAsia" w:ascii="方正黑体_GBK" w:hAnsi="方正黑体_GBK" w:eastAsia="方正黑体_GBK" w:cs="方正黑体_GBK"/>
          <w:b w:val="0"/>
          <w:bCs w:val="0"/>
          <w:caps w:val="0"/>
          <w:color w:val="auto"/>
          <w:kern w:val="2"/>
          <w:sz w:val="32"/>
          <w:szCs w:val="32"/>
          <w:vertAlign w:val="baseline"/>
          <w:lang w:val="en-US" w:eastAsia="zh-CN" w:bidi="ar"/>
        </w:rPr>
        <w:t>五、评价结论及建议</w:t>
      </w:r>
    </w:p>
    <w:p>
      <w:pPr>
        <w:pStyle w:val="9"/>
        <w:keepNext w:val="0"/>
        <w:keepLines w:val="0"/>
        <w:pageBreakBefore w:val="0"/>
        <w:widowControl w:val="0"/>
        <w:kinsoku/>
        <w:wordWrap/>
        <w:overflowPunct/>
        <w:topLinePunct w:val="0"/>
        <w:bidi w:val="0"/>
        <w:adjustRightInd/>
        <w:snapToGrid/>
        <w:spacing w:line="240" w:lineRule="auto"/>
        <w:ind w:firstLine="642"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（一）评价结论</w:t>
      </w:r>
    </w:p>
    <w:p>
      <w:pPr>
        <w:pStyle w:val="9"/>
        <w:keepNext w:val="0"/>
        <w:keepLines w:val="0"/>
        <w:pageBreakBefore w:val="0"/>
        <w:widowControl w:val="0"/>
        <w:kinsoku/>
        <w:wordWrap/>
        <w:overflowPunct/>
        <w:topLinePunct w:val="0"/>
        <w:bidi w:val="0"/>
        <w:adjustRightInd/>
        <w:snapToGrid/>
        <w:spacing w:line="240" w:lineRule="auto"/>
        <w:ind w:firstLine="640" w:firstLineChars="200"/>
        <w:textAlignment w:val="auto"/>
        <w:rPr>
          <w:rFonts w:eastAsia="方正仿宋简体"/>
          <w:sz w:val="32"/>
          <w:szCs w:val="32"/>
        </w:rPr>
      </w:pPr>
      <w:r>
        <w:rPr>
          <w:rFonts w:hint="eastAsia" w:eastAsia="方正仿宋简体"/>
          <w:sz w:val="32"/>
          <w:szCs w:val="32"/>
          <w:lang w:eastAsia="zh-CN"/>
        </w:rPr>
        <w:t>项目的开展</w:t>
      </w:r>
      <w:r>
        <w:rPr>
          <w:rFonts w:hint="eastAsia" w:eastAsia="方正仿宋简体"/>
          <w:sz w:val="32"/>
          <w:szCs w:val="32"/>
        </w:rPr>
        <w:t>促进</w:t>
      </w:r>
      <w:r>
        <w:rPr>
          <w:rFonts w:hint="eastAsia" w:eastAsia="方正仿宋简体"/>
          <w:sz w:val="32"/>
          <w:szCs w:val="32"/>
          <w:lang w:eastAsia="zh-CN"/>
        </w:rPr>
        <w:t>了</w:t>
      </w:r>
      <w:r>
        <w:rPr>
          <w:rFonts w:hint="eastAsia" w:eastAsia="方正仿宋简体"/>
          <w:sz w:val="32"/>
          <w:szCs w:val="32"/>
        </w:rPr>
        <w:t>各民族交往交流交融，带动旅游及相关产业发展，增加居民收入，铸牢了中华民族共同体意识。整体而言，项目达成了预期绩效目标，对推动地区发展和民族团结意义重大。</w:t>
      </w:r>
    </w:p>
    <w:p>
      <w:pPr>
        <w:pStyle w:val="9"/>
        <w:keepNext w:val="0"/>
        <w:keepLines w:val="0"/>
        <w:pageBreakBefore w:val="0"/>
        <w:widowControl w:val="0"/>
        <w:kinsoku/>
        <w:wordWrap/>
        <w:overflowPunct/>
        <w:topLinePunct w:val="0"/>
        <w:bidi w:val="0"/>
        <w:adjustRightInd/>
        <w:snapToGrid/>
        <w:spacing w:line="240" w:lineRule="auto"/>
        <w:ind w:firstLine="642"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（二）存在问题</w:t>
      </w:r>
    </w:p>
    <w:p>
      <w:pPr>
        <w:pStyle w:val="9"/>
        <w:keepNext w:val="0"/>
        <w:keepLines w:val="0"/>
        <w:pageBreakBefore w:val="0"/>
        <w:widowControl w:val="0"/>
        <w:kinsoku/>
        <w:wordWrap/>
        <w:overflowPunct/>
        <w:topLinePunct w:val="0"/>
        <w:bidi w:val="0"/>
        <w:adjustRightInd/>
        <w:snapToGrid/>
        <w:spacing w:line="240" w:lineRule="auto"/>
        <w:ind w:firstLine="640" w:firstLineChars="200"/>
        <w:textAlignment w:val="auto"/>
        <w:rPr>
          <w:rFonts w:eastAsia="方正仿宋简体"/>
          <w:sz w:val="32"/>
          <w:szCs w:val="32"/>
        </w:rPr>
      </w:pPr>
      <w:r>
        <w:rPr>
          <w:rFonts w:hint="eastAsia" w:eastAsia="方正仿宋简体"/>
          <w:sz w:val="32"/>
          <w:szCs w:val="32"/>
        </w:rPr>
        <w:t>资金下达时间较晚，我委组织牵头活动时间有限</w:t>
      </w:r>
      <w:r>
        <w:rPr>
          <w:rFonts w:hint="eastAsia" w:eastAsia="方正仿宋简体"/>
          <w:sz w:val="32"/>
          <w:szCs w:val="32"/>
          <w:lang w:eastAsia="zh-CN"/>
        </w:rPr>
        <w:t>，</w:t>
      </w:r>
      <w:r>
        <w:rPr>
          <w:rFonts w:hint="eastAsia" w:eastAsia="方正仿宋简体"/>
          <w:sz w:val="32"/>
          <w:szCs w:val="32"/>
        </w:rPr>
        <w:t>部分项目支付未完成。</w:t>
      </w:r>
    </w:p>
    <w:p>
      <w:pPr>
        <w:pStyle w:val="9"/>
        <w:keepNext w:val="0"/>
        <w:keepLines w:val="0"/>
        <w:pageBreakBefore w:val="0"/>
        <w:widowControl w:val="0"/>
        <w:kinsoku/>
        <w:wordWrap/>
        <w:overflowPunct/>
        <w:topLinePunct w:val="0"/>
        <w:bidi w:val="0"/>
        <w:adjustRightInd/>
        <w:snapToGrid/>
        <w:spacing w:line="240" w:lineRule="auto"/>
        <w:ind w:firstLine="642"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（三）改进措施</w:t>
      </w:r>
    </w:p>
    <w:p>
      <w:pPr>
        <w:pStyle w:val="3"/>
        <w:keepNext w:val="0"/>
        <w:keepLines w:val="0"/>
        <w:pageBreakBefore w:val="0"/>
        <w:widowControl w:val="0"/>
        <w:kinsoku/>
        <w:wordWrap/>
        <w:overflowPunct/>
        <w:topLinePunct w:val="0"/>
        <w:bidi w:val="0"/>
        <w:adjustRightInd/>
        <w:snapToGrid/>
        <w:ind w:left="420" w:firstLine="640"/>
        <w:textAlignment w:val="auto"/>
        <w:rPr>
          <w:rFonts w:hint="eastAsia" w:eastAsia="方正仿宋简体"/>
          <w:sz w:val="32"/>
          <w:szCs w:val="32"/>
        </w:rPr>
      </w:pPr>
      <w:r>
        <w:rPr>
          <w:rFonts w:hint="eastAsia" w:eastAsia="方正仿宋简体"/>
          <w:sz w:val="32"/>
          <w:szCs w:val="32"/>
        </w:rPr>
        <w:t>加强与市财政局沟通协调，加快资金拨付进度。进一步加强项目开展进度的跟踪及监管，发挥资金的使用效益，提高预算完成率。</w:t>
      </w:r>
    </w:p>
    <w:p>
      <w:pPr>
        <w:pStyle w:val="3"/>
        <w:keepNext w:val="0"/>
        <w:keepLines w:val="0"/>
        <w:pageBreakBefore w:val="0"/>
        <w:widowControl w:val="0"/>
        <w:kinsoku/>
        <w:wordWrap/>
        <w:overflowPunct/>
        <w:topLinePunct w:val="0"/>
        <w:bidi w:val="0"/>
        <w:adjustRightInd/>
        <w:snapToGrid/>
        <w:ind w:left="420" w:firstLine="640"/>
        <w:textAlignment w:val="auto"/>
        <w:rPr>
          <w:rFonts w:hint="eastAsia" w:eastAsia="方正仿宋简体"/>
          <w:sz w:val="32"/>
          <w:szCs w:val="32"/>
        </w:rPr>
      </w:pPr>
    </w:p>
    <w:p>
      <w:pPr>
        <w:pStyle w:val="3"/>
        <w:keepNext w:val="0"/>
        <w:keepLines w:val="0"/>
        <w:pageBreakBefore w:val="0"/>
        <w:widowControl w:val="0"/>
        <w:kinsoku/>
        <w:wordWrap/>
        <w:overflowPunct/>
        <w:topLinePunct w:val="0"/>
        <w:bidi w:val="0"/>
        <w:adjustRightInd/>
        <w:snapToGrid/>
        <w:ind w:left="420" w:firstLine="640"/>
        <w:textAlignment w:val="auto"/>
        <w:rPr>
          <w:rFonts w:hint="eastAsia" w:eastAsia="方正仿宋简体"/>
          <w:sz w:val="32"/>
          <w:szCs w:val="32"/>
        </w:rPr>
      </w:pPr>
    </w:p>
    <w:p>
      <w:pPr>
        <w:pStyle w:val="3"/>
        <w:keepNext w:val="0"/>
        <w:keepLines w:val="0"/>
        <w:pageBreakBefore w:val="0"/>
        <w:widowControl w:val="0"/>
        <w:kinsoku/>
        <w:wordWrap/>
        <w:overflowPunct/>
        <w:topLinePunct w:val="0"/>
        <w:bidi w:val="0"/>
        <w:adjustRightInd/>
        <w:snapToGrid/>
        <w:ind w:left="420" w:firstLine="640"/>
        <w:textAlignment w:val="auto"/>
        <w:rPr>
          <w:rFonts w:hint="eastAsia" w:eastAsia="方正仿宋简体"/>
          <w:sz w:val="32"/>
          <w:szCs w:val="32"/>
        </w:rPr>
      </w:pPr>
    </w:p>
    <w:p>
      <w:pPr>
        <w:pStyle w:val="3"/>
        <w:keepNext w:val="0"/>
        <w:keepLines w:val="0"/>
        <w:pageBreakBefore w:val="0"/>
        <w:widowControl w:val="0"/>
        <w:kinsoku/>
        <w:wordWrap/>
        <w:overflowPunct/>
        <w:topLinePunct w:val="0"/>
        <w:bidi w:val="0"/>
        <w:adjustRightInd/>
        <w:snapToGrid/>
        <w:ind w:left="420" w:firstLine="640"/>
        <w:textAlignment w:val="auto"/>
        <w:rPr>
          <w:rFonts w:hint="eastAsia" w:eastAsia="方正仿宋简体"/>
          <w:sz w:val="32"/>
          <w:szCs w:val="32"/>
        </w:rPr>
      </w:pPr>
    </w:p>
    <w:p>
      <w:pPr>
        <w:pStyle w:val="3"/>
        <w:keepNext w:val="0"/>
        <w:keepLines w:val="0"/>
        <w:pageBreakBefore w:val="0"/>
        <w:widowControl w:val="0"/>
        <w:kinsoku/>
        <w:wordWrap/>
        <w:overflowPunct/>
        <w:topLinePunct w:val="0"/>
        <w:bidi w:val="0"/>
        <w:adjustRightInd/>
        <w:snapToGrid/>
        <w:ind w:left="420" w:firstLine="640"/>
        <w:textAlignment w:val="auto"/>
        <w:rPr>
          <w:rFonts w:hint="eastAsia" w:eastAsia="方正仿宋简体"/>
          <w:sz w:val="32"/>
          <w:szCs w:val="32"/>
        </w:rPr>
      </w:pPr>
    </w:p>
    <w:p>
      <w:pPr>
        <w:pStyle w:val="3"/>
        <w:keepNext w:val="0"/>
        <w:keepLines w:val="0"/>
        <w:pageBreakBefore w:val="0"/>
        <w:widowControl w:val="0"/>
        <w:kinsoku/>
        <w:wordWrap/>
        <w:overflowPunct/>
        <w:topLinePunct w:val="0"/>
        <w:bidi w:val="0"/>
        <w:adjustRightInd/>
        <w:snapToGrid/>
        <w:ind w:left="420" w:firstLine="640"/>
        <w:textAlignment w:val="auto"/>
        <w:rPr>
          <w:rFonts w:hint="eastAsia" w:eastAsia="方正仿宋简体"/>
          <w:sz w:val="32"/>
          <w:szCs w:val="32"/>
        </w:rPr>
      </w:pPr>
    </w:p>
    <w:p>
      <w:pPr>
        <w:pStyle w:val="3"/>
        <w:keepNext w:val="0"/>
        <w:keepLines w:val="0"/>
        <w:pageBreakBefore w:val="0"/>
        <w:widowControl w:val="0"/>
        <w:kinsoku/>
        <w:wordWrap/>
        <w:overflowPunct/>
        <w:topLinePunct w:val="0"/>
        <w:bidi w:val="0"/>
        <w:adjustRightInd/>
        <w:snapToGrid/>
        <w:ind w:left="420" w:firstLine="640"/>
        <w:textAlignment w:val="auto"/>
        <w:rPr>
          <w:rFonts w:hint="eastAsia" w:eastAsia="方正仿宋简体"/>
          <w:sz w:val="32"/>
          <w:szCs w:val="32"/>
        </w:rPr>
      </w:pPr>
    </w:p>
    <w:p>
      <w:pPr>
        <w:pStyle w:val="3"/>
        <w:keepNext w:val="0"/>
        <w:keepLines w:val="0"/>
        <w:pageBreakBefore w:val="0"/>
        <w:widowControl w:val="0"/>
        <w:kinsoku/>
        <w:wordWrap/>
        <w:overflowPunct/>
        <w:topLinePunct w:val="0"/>
        <w:bidi w:val="0"/>
        <w:adjustRightInd/>
        <w:snapToGrid/>
        <w:ind w:left="420" w:firstLine="640"/>
        <w:textAlignment w:val="auto"/>
        <w:rPr>
          <w:rFonts w:hint="eastAsia" w:eastAsia="方正仿宋简体"/>
          <w:sz w:val="32"/>
          <w:szCs w:val="32"/>
        </w:rPr>
      </w:pPr>
    </w:p>
    <w:p>
      <w:pPr>
        <w:pStyle w:val="3"/>
        <w:keepNext w:val="0"/>
        <w:keepLines w:val="0"/>
        <w:pageBreakBefore w:val="0"/>
        <w:widowControl w:val="0"/>
        <w:kinsoku/>
        <w:wordWrap/>
        <w:overflowPunct/>
        <w:topLinePunct w:val="0"/>
        <w:bidi w:val="0"/>
        <w:adjustRightInd/>
        <w:snapToGrid/>
        <w:ind w:left="420" w:firstLine="640"/>
        <w:textAlignment w:val="auto"/>
        <w:rPr>
          <w:rFonts w:hint="eastAsia" w:eastAsia="方正仿宋简体"/>
          <w:sz w:val="32"/>
          <w:szCs w:val="32"/>
        </w:rPr>
      </w:pPr>
    </w:p>
    <w:p>
      <w:pPr>
        <w:pStyle w:val="3"/>
        <w:keepNext w:val="0"/>
        <w:keepLines w:val="0"/>
        <w:pageBreakBefore w:val="0"/>
        <w:widowControl w:val="0"/>
        <w:kinsoku/>
        <w:wordWrap/>
        <w:overflowPunct/>
        <w:topLinePunct w:val="0"/>
        <w:bidi w:val="0"/>
        <w:adjustRightInd/>
        <w:snapToGrid/>
        <w:ind w:left="420" w:firstLine="640"/>
        <w:textAlignment w:val="auto"/>
        <w:rPr>
          <w:rFonts w:hint="eastAsia" w:eastAsia="方正仿宋简体"/>
          <w:sz w:val="32"/>
          <w:szCs w:val="32"/>
        </w:rPr>
      </w:pPr>
    </w:p>
    <w:p>
      <w:pPr>
        <w:pStyle w:val="3"/>
        <w:keepNext w:val="0"/>
        <w:keepLines w:val="0"/>
        <w:pageBreakBefore w:val="0"/>
        <w:widowControl w:val="0"/>
        <w:kinsoku/>
        <w:wordWrap/>
        <w:overflowPunct/>
        <w:topLinePunct w:val="0"/>
        <w:bidi w:val="0"/>
        <w:adjustRightInd/>
        <w:snapToGrid/>
        <w:ind w:left="420" w:firstLine="640"/>
        <w:textAlignment w:val="auto"/>
        <w:rPr>
          <w:rFonts w:hint="eastAsia" w:eastAsia="方正仿宋简体"/>
          <w:sz w:val="32"/>
          <w:szCs w:val="32"/>
        </w:rPr>
      </w:pPr>
    </w:p>
    <w:p>
      <w:pPr>
        <w:pStyle w:val="3"/>
        <w:keepNext w:val="0"/>
        <w:keepLines w:val="0"/>
        <w:pageBreakBefore w:val="0"/>
        <w:widowControl w:val="0"/>
        <w:kinsoku/>
        <w:wordWrap/>
        <w:overflowPunct/>
        <w:topLinePunct w:val="0"/>
        <w:bidi w:val="0"/>
        <w:adjustRightInd/>
        <w:snapToGrid/>
        <w:ind w:left="420" w:firstLine="640"/>
        <w:textAlignment w:val="auto"/>
        <w:rPr>
          <w:rFonts w:hint="eastAsia" w:eastAsia="方正仿宋简体"/>
          <w:sz w:val="32"/>
          <w:szCs w:val="32"/>
        </w:rPr>
      </w:pPr>
    </w:p>
    <w:p>
      <w:pPr>
        <w:pStyle w:val="3"/>
        <w:keepNext w:val="0"/>
        <w:keepLines w:val="0"/>
        <w:pageBreakBefore w:val="0"/>
        <w:widowControl w:val="0"/>
        <w:kinsoku/>
        <w:wordWrap/>
        <w:overflowPunct/>
        <w:topLinePunct w:val="0"/>
        <w:bidi w:val="0"/>
        <w:adjustRightInd/>
        <w:snapToGrid/>
        <w:ind w:left="420" w:firstLine="640"/>
        <w:textAlignment w:val="auto"/>
        <w:rPr>
          <w:rFonts w:hint="eastAsia" w:eastAsia="方正仿宋简体"/>
          <w:sz w:val="32"/>
          <w:szCs w:val="32"/>
        </w:rPr>
      </w:pPr>
    </w:p>
    <w:p>
      <w:pPr>
        <w:pStyle w:val="3"/>
        <w:keepNext w:val="0"/>
        <w:keepLines w:val="0"/>
        <w:pageBreakBefore w:val="0"/>
        <w:widowControl w:val="0"/>
        <w:kinsoku/>
        <w:wordWrap/>
        <w:overflowPunct/>
        <w:topLinePunct w:val="0"/>
        <w:bidi w:val="0"/>
        <w:adjustRightInd/>
        <w:snapToGrid/>
        <w:ind w:left="420" w:firstLine="640"/>
        <w:textAlignment w:val="auto"/>
        <w:rPr>
          <w:rFonts w:hint="eastAsia" w:eastAsia="方正仿宋简体"/>
          <w:sz w:val="32"/>
          <w:szCs w:val="32"/>
        </w:rPr>
      </w:pPr>
    </w:p>
    <w:p>
      <w:pPr>
        <w:pStyle w:val="3"/>
        <w:keepNext w:val="0"/>
        <w:keepLines w:val="0"/>
        <w:pageBreakBefore w:val="0"/>
        <w:widowControl w:val="0"/>
        <w:kinsoku/>
        <w:wordWrap/>
        <w:overflowPunct/>
        <w:topLinePunct w:val="0"/>
        <w:bidi w:val="0"/>
        <w:adjustRightInd/>
        <w:snapToGrid/>
        <w:ind w:left="420" w:firstLine="640"/>
        <w:textAlignment w:val="auto"/>
        <w:rPr>
          <w:rFonts w:hint="eastAsia" w:eastAsia="方正仿宋简体"/>
          <w:sz w:val="32"/>
          <w:szCs w:val="32"/>
        </w:rPr>
      </w:pP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2024年四川省民族地区开发资金</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专项预算项目支出绩效自评报告</w:t>
      </w:r>
    </w:p>
    <w:p>
      <w:pPr>
        <w:pStyle w:val="54"/>
        <w:rPr>
          <w:rFonts w:hint="eastAsia" w:eastAsia="Arial Unicode MS"/>
          <w:lang w:eastAsia="zh-CN"/>
        </w:rPr>
      </w:pPr>
    </w:p>
    <w:p>
      <w:pPr>
        <w:keepNext w:val="0"/>
        <w:keepLines w:val="0"/>
        <w:pageBreakBefore w:val="0"/>
        <w:widowControl w:val="0"/>
        <w:numPr>
          <w:ilvl w:val="0"/>
          <w:numId w:val="0"/>
        </w:numPr>
        <w:kinsoku/>
        <w:wordWrap/>
        <w:overflowPunct/>
        <w:topLinePunct w:val="0"/>
        <w:bidi w:val="0"/>
        <w:adjustRightInd/>
        <w:snapToGrid/>
        <w:spacing w:line="240" w:lineRule="auto"/>
        <w:ind w:firstLine="640" w:firstLineChars="200"/>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一、项目概况</w:t>
      </w:r>
    </w:p>
    <w:p>
      <w:pPr>
        <w:keepNext w:val="0"/>
        <w:keepLines w:val="0"/>
        <w:pageBreakBefore w:val="0"/>
        <w:widowControl w:val="0"/>
        <w:kinsoku/>
        <w:wordWrap/>
        <w:overflowPunct/>
        <w:topLinePunct w:val="0"/>
        <w:autoSpaceDE w:val="0"/>
        <w:autoSpaceDN w:val="0"/>
        <w:bidi w:val="0"/>
        <w:adjustRightInd/>
        <w:snapToGrid/>
        <w:spacing w:line="240" w:lineRule="auto"/>
        <w:ind w:firstLine="642" w:firstLineChars="200"/>
        <w:jc w:val="both"/>
        <w:textAlignment w:val="auto"/>
        <w:rPr>
          <w:rFonts w:hint="eastAsia" w:ascii="方正楷体_GBK" w:hAnsi="方正楷体_GBK" w:eastAsia="方正楷体_GBK" w:cs="方正楷体_GBK"/>
          <w:b/>
          <w:bCs/>
          <w:kern w:val="2"/>
          <w:sz w:val="32"/>
          <w:szCs w:val="32"/>
          <w:lang w:val="en-US" w:eastAsia="zh-CN" w:bidi="ar-SA"/>
        </w:rPr>
      </w:pPr>
      <w:r>
        <w:rPr>
          <w:rFonts w:hint="eastAsia" w:ascii="方正楷体_GBK" w:hAnsi="方正楷体_GBK" w:eastAsia="方正楷体_GBK" w:cs="方正楷体_GBK"/>
          <w:b/>
          <w:bCs/>
          <w:kern w:val="2"/>
          <w:sz w:val="32"/>
          <w:szCs w:val="32"/>
          <w:lang w:val="en-US" w:eastAsia="zh-CN" w:bidi="ar-SA"/>
        </w:rPr>
        <w:t>（一）项目基本情况</w:t>
      </w:r>
    </w:p>
    <w:p>
      <w:pPr>
        <w:keepNext w:val="0"/>
        <w:keepLines w:val="0"/>
        <w:pageBreakBefore w:val="0"/>
        <w:widowControl w:val="0"/>
        <w:kinsoku/>
        <w:wordWrap/>
        <w:overflowPunct/>
        <w:topLinePunct w:val="0"/>
        <w:autoSpaceDE w:val="0"/>
        <w:autoSpaceDN w:val="0"/>
        <w:bidi w:val="0"/>
        <w:adjustRightInd/>
        <w:snapToGrid/>
        <w:spacing w:line="240" w:lineRule="auto"/>
        <w:ind w:firstLine="640" w:firstLineChars="200"/>
        <w:jc w:val="both"/>
        <w:textAlignment w:val="auto"/>
        <w:rPr>
          <w:rFonts w:hint="eastAsia" w:ascii="方正仿宋_GBK" w:hAnsi="方正仿宋_GBK" w:eastAsia="方正仿宋_GBK" w:cs="方正仿宋_GBK"/>
          <w:kern w:val="2"/>
          <w:sz w:val="32"/>
          <w:szCs w:val="32"/>
          <w:highlight w:val="none"/>
          <w:lang w:val="en-US" w:eastAsia="zh-CN" w:bidi="ar-SA"/>
        </w:rPr>
      </w:pPr>
      <w:r>
        <w:rPr>
          <w:rFonts w:hint="default" w:ascii="Times New RomanBK" w:hAnsi="Times New RomanBK" w:eastAsia="方正仿宋_GBK" w:cs="Times New RomanBK"/>
          <w:kern w:val="2"/>
          <w:sz w:val="32"/>
          <w:szCs w:val="32"/>
          <w:highlight w:val="none"/>
          <w:lang w:val="en-US" w:eastAsia="zh-CN" w:bidi="ar-SA"/>
        </w:rPr>
        <w:t>1.</w:t>
      </w:r>
      <w:r>
        <w:rPr>
          <w:rFonts w:hint="eastAsia" w:ascii="方正仿宋_GBK" w:hAnsi="方正仿宋_GBK" w:eastAsia="方正仿宋_GBK" w:cs="方正仿宋_GBK"/>
          <w:kern w:val="2"/>
          <w:sz w:val="32"/>
          <w:szCs w:val="32"/>
          <w:highlight w:val="none"/>
          <w:lang w:val="en-US" w:eastAsia="zh-CN" w:bidi="ar-SA"/>
        </w:rPr>
        <w:t>项目主管部门职能：负责统筹协调民族地区开发资金项目的规划、申报、实施与监管。对项目进行筛选、审核，确保项目符合民族地区发展需求与相关政策导向；监督项目实施进度、质量及资金使用情况，保障项目顺利推进；协调解决项目实施过程中出现的问题，促进各项目实施单位间的沟通协作。</w:t>
      </w:r>
    </w:p>
    <w:p>
      <w:pPr>
        <w:keepNext w:val="0"/>
        <w:keepLines w:val="0"/>
        <w:pageBreakBefore w:val="0"/>
        <w:widowControl w:val="0"/>
        <w:kinsoku/>
        <w:wordWrap/>
        <w:overflowPunct/>
        <w:topLinePunct w:val="0"/>
        <w:autoSpaceDE w:val="0"/>
        <w:autoSpaceDN w:val="0"/>
        <w:bidi w:val="0"/>
        <w:adjustRightInd/>
        <w:snapToGrid/>
        <w:spacing w:line="240" w:lineRule="auto"/>
        <w:ind w:firstLine="640" w:firstLineChars="200"/>
        <w:jc w:val="both"/>
        <w:textAlignment w:val="auto"/>
        <w:rPr>
          <w:rFonts w:hint="eastAsia" w:ascii="方正仿宋_GBK" w:hAnsi="方正仿宋_GBK" w:eastAsia="方正仿宋_GBK" w:cs="方正仿宋_GBK"/>
          <w:kern w:val="2"/>
          <w:sz w:val="32"/>
          <w:szCs w:val="32"/>
          <w:highlight w:val="none"/>
          <w:lang w:val="en-US" w:eastAsia="zh-CN" w:bidi="ar-SA"/>
        </w:rPr>
      </w:pPr>
      <w:r>
        <w:rPr>
          <w:rFonts w:hint="eastAsia" w:ascii="Times New RomanBK" w:hAnsi="Times New RomanBK" w:eastAsia="方正仿宋_GBK" w:cs="Times New RomanBK"/>
          <w:kern w:val="2"/>
          <w:sz w:val="32"/>
          <w:szCs w:val="32"/>
          <w:highlight w:val="none"/>
          <w:lang w:val="en-US" w:eastAsia="zh-CN" w:bidi="ar-SA"/>
        </w:rPr>
        <w:t>2.</w:t>
      </w:r>
      <w:r>
        <w:rPr>
          <w:rFonts w:hint="eastAsia" w:ascii="方正仿宋_GBK" w:hAnsi="方正仿宋_GBK" w:eastAsia="方正仿宋_GBK" w:cs="方正仿宋_GBK"/>
          <w:kern w:val="2"/>
          <w:sz w:val="32"/>
          <w:szCs w:val="32"/>
          <w:highlight w:val="none"/>
          <w:lang w:val="en-US" w:eastAsia="zh-CN" w:bidi="ar-SA"/>
        </w:rPr>
        <w:t>项目立项、资金申报依据：依据《四川省民族地区开发资金管理办法》，结合各地实际需求进行立项与资金申报。旨在加强民族地区基础设施建设、提升教育水平、促进民族团结进步，推动民族地区经济社会全面发展。</w:t>
      </w:r>
    </w:p>
    <w:p>
      <w:pPr>
        <w:keepNext w:val="0"/>
        <w:keepLines w:val="0"/>
        <w:pageBreakBefore w:val="0"/>
        <w:widowControl w:val="0"/>
        <w:kinsoku/>
        <w:wordWrap/>
        <w:overflowPunct/>
        <w:topLinePunct w:val="0"/>
        <w:autoSpaceDE w:val="0"/>
        <w:autoSpaceDN w:val="0"/>
        <w:bidi w:val="0"/>
        <w:adjustRightInd/>
        <w:snapToGrid/>
        <w:spacing w:line="240" w:lineRule="auto"/>
        <w:ind w:firstLine="640" w:firstLineChars="200"/>
        <w:jc w:val="both"/>
        <w:textAlignment w:val="auto"/>
        <w:rPr>
          <w:rFonts w:hint="eastAsia" w:ascii="方正仿宋_GBK" w:hAnsi="方正仿宋_GBK" w:eastAsia="方正仿宋_GBK" w:cs="方正仿宋_GBK"/>
          <w:kern w:val="2"/>
          <w:sz w:val="32"/>
          <w:szCs w:val="32"/>
          <w:highlight w:val="none"/>
          <w:lang w:val="en-US" w:eastAsia="zh-CN" w:bidi="ar-SA"/>
        </w:rPr>
      </w:pPr>
      <w:r>
        <w:rPr>
          <w:rFonts w:hint="eastAsia" w:ascii="Times New RomanBK" w:hAnsi="Times New RomanBK" w:eastAsia="方正仿宋_GBK" w:cs="Times New RomanBK"/>
          <w:kern w:val="2"/>
          <w:sz w:val="32"/>
          <w:szCs w:val="32"/>
          <w:highlight w:val="none"/>
          <w:lang w:val="en-US" w:eastAsia="zh-CN" w:bidi="ar-SA"/>
        </w:rPr>
        <w:t>3.</w:t>
      </w:r>
      <w:r>
        <w:rPr>
          <w:rFonts w:hint="eastAsia" w:ascii="方正仿宋_GBK" w:hAnsi="方正仿宋_GBK" w:eastAsia="方正仿宋_GBK" w:cs="方正仿宋_GBK"/>
          <w:kern w:val="2"/>
          <w:sz w:val="32"/>
          <w:szCs w:val="32"/>
          <w:highlight w:val="none"/>
          <w:lang w:val="en-US" w:eastAsia="zh-CN" w:bidi="ar-SA"/>
        </w:rPr>
        <w:t>资金管理办法制定情况，资金支持具体项目的条件、范围与支持方式概况：制定了严格的资金管理办法，明确资金专款专用，严禁截留、挪用。支持条件为项目需紧密围绕民族地区发展需求，具备明确的绩效目标与可行性方案。支持范围涵盖民族团结进步示范村建设、学校民族文化建设、项目管理培训等。支持方式主要为财政资金直接补助。</w:t>
      </w:r>
    </w:p>
    <w:p>
      <w:pPr>
        <w:keepNext w:val="0"/>
        <w:keepLines w:val="0"/>
        <w:pageBreakBefore w:val="0"/>
        <w:widowControl w:val="0"/>
        <w:kinsoku/>
        <w:wordWrap/>
        <w:overflowPunct/>
        <w:topLinePunct w:val="0"/>
        <w:autoSpaceDE w:val="0"/>
        <w:autoSpaceDN w:val="0"/>
        <w:bidi w:val="0"/>
        <w:adjustRightInd/>
        <w:snapToGrid/>
        <w:spacing w:line="240" w:lineRule="auto"/>
        <w:ind w:firstLine="640" w:firstLineChars="200"/>
        <w:jc w:val="both"/>
        <w:textAlignment w:val="auto"/>
        <w:rPr>
          <w:rFonts w:hint="eastAsia" w:ascii="方正仿宋_GBK" w:hAnsi="方正仿宋_GBK" w:eastAsia="方正仿宋_GBK" w:cs="方正仿宋_GBK"/>
          <w:kern w:val="2"/>
          <w:sz w:val="32"/>
          <w:szCs w:val="32"/>
          <w:highlight w:val="none"/>
          <w:lang w:val="en-US" w:eastAsia="zh-CN" w:bidi="ar-SA"/>
        </w:rPr>
      </w:pPr>
      <w:r>
        <w:rPr>
          <w:rFonts w:hint="eastAsia" w:ascii="Times New RomanBK" w:hAnsi="Times New RomanBK" w:eastAsia="方正仿宋_GBK" w:cs="Times New RomanBK"/>
          <w:kern w:val="2"/>
          <w:sz w:val="32"/>
          <w:szCs w:val="32"/>
          <w:highlight w:val="none"/>
          <w:lang w:val="en-US" w:eastAsia="zh-CN" w:bidi="ar-SA"/>
        </w:rPr>
        <w:t>4.资</w:t>
      </w:r>
      <w:r>
        <w:rPr>
          <w:rFonts w:hint="eastAsia" w:ascii="方正仿宋_GBK" w:hAnsi="方正仿宋_GBK" w:eastAsia="方正仿宋_GBK" w:cs="方正仿宋_GBK"/>
          <w:kern w:val="2"/>
          <w:sz w:val="32"/>
          <w:szCs w:val="32"/>
          <w:highlight w:val="none"/>
          <w:lang w:val="en-US" w:eastAsia="zh-CN" w:bidi="ar-SA"/>
        </w:rPr>
        <w:t>金分配的原则及考虑因素：遵循公平、公正、公开原则，由省民开中心综合考虑民族地区人口规模、经济发展水平、贫困程度、项目重要性与紧迫性等因素进行资金分配。对发展相对滞后、需求更为迫切的地区及具有重大示范带动作用的项目给予重点支持。</w:t>
      </w:r>
    </w:p>
    <w:p>
      <w:pPr>
        <w:pStyle w:val="8"/>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方正楷体_GBK" w:hAnsi="方正楷体_GBK" w:eastAsia="方正楷体_GBK" w:cs="方正楷体_GBK"/>
          <w:b/>
          <w:bCs/>
          <w:kern w:val="2"/>
          <w:sz w:val="32"/>
          <w:szCs w:val="32"/>
          <w:lang w:val="en-US" w:eastAsia="zh-CN" w:bidi="ar-SA"/>
        </w:rPr>
      </w:pPr>
      <w:r>
        <w:rPr>
          <w:rFonts w:hint="eastAsia" w:ascii="方正楷体_GBK" w:hAnsi="方正楷体_GBK" w:eastAsia="方正楷体_GBK" w:cs="方正楷体_GBK"/>
          <w:b/>
          <w:bCs/>
          <w:kern w:val="2"/>
          <w:sz w:val="32"/>
          <w:szCs w:val="32"/>
          <w:lang w:val="en-US" w:eastAsia="zh-CN" w:bidi="ar-SA"/>
        </w:rPr>
        <w:t>（二）项目绩效目标</w:t>
      </w:r>
    </w:p>
    <w:p>
      <w:pPr>
        <w:pStyle w:val="8"/>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BK" w:hAnsi="Times New RomanBK" w:eastAsia="方正仿宋_GBK" w:cs="Times New RomanBK"/>
          <w:kern w:val="2"/>
          <w:sz w:val="32"/>
          <w:szCs w:val="32"/>
          <w:highlight w:val="none"/>
          <w:lang w:val="en-US" w:eastAsia="zh-CN" w:bidi="ar-SA"/>
        </w:rPr>
      </w:pPr>
      <w:r>
        <w:rPr>
          <w:rFonts w:hint="eastAsia" w:ascii="Times New RomanBK" w:hAnsi="Times New RomanBK" w:eastAsia="方正仿宋_GBK" w:cs="Times New RomanBK"/>
          <w:kern w:val="2"/>
          <w:sz w:val="32"/>
          <w:szCs w:val="32"/>
          <w:highlight w:val="none"/>
          <w:lang w:val="en-US" w:eastAsia="zh-CN" w:bidi="ar-SA"/>
        </w:rPr>
        <w:t>1.项目主要内容：包含多个项目，如仁和区平地镇迤沙拉村、米易县草场镇晃桥村、盐边县惠民镇新林村等多地的民族团结进步示范村建设；仁和区中坝中心学校、四川省米易中学、盐边中学校等多所学校的民族团结进步示范学校打造及相关项目；还有仁和区、米易县、盐边县的项目管理培训费及市本级项目管理费。</w:t>
      </w:r>
    </w:p>
    <w:p>
      <w:pPr>
        <w:pStyle w:val="8"/>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kern w:val="2"/>
          <w:sz w:val="32"/>
          <w:szCs w:val="32"/>
          <w:highlight w:val="none"/>
          <w:lang w:val="en-US" w:eastAsia="zh-CN" w:bidi="ar-SA"/>
        </w:rPr>
      </w:pPr>
      <w:r>
        <w:rPr>
          <w:rFonts w:hint="eastAsia" w:ascii="Times New RomanBK" w:hAnsi="Times New RomanBK" w:eastAsia="方正仿宋_GBK" w:cs="Times New RomanBK"/>
          <w:kern w:val="2"/>
          <w:sz w:val="32"/>
          <w:szCs w:val="32"/>
          <w:highlight w:val="none"/>
          <w:lang w:val="en-US" w:eastAsia="zh-CN" w:bidi="ar-SA"/>
        </w:rPr>
        <w:t>2.项目应实现的具体绩效目标，包括目标的量化、细化情况以及项目实施进度计划等：示范村建设项目计划促进产业发展，增加村民收入。示范学校建设项目计划加强民族文化教育课程设置与师资队伍建设，开展各类民族团结教育活动，营造浓厚的民族团结氛围。项目实施进度计划在2024-2025年分阶段推进，2024年主要完成项目前期筹备、规划设计、招投标等工作；2025</w:t>
      </w:r>
      <w:r>
        <w:rPr>
          <w:rFonts w:hint="eastAsia" w:ascii="方正仿宋_GBK" w:hAnsi="方正仿宋_GBK" w:eastAsia="方正仿宋_GBK" w:cs="方正仿宋_GBK"/>
          <w:kern w:val="2"/>
          <w:sz w:val="32"/>
          <w:szCs w:val="32"/>
          <w:highlight w:val="none"/>
          <w:lang w:val="en-US" w:eastAsia="zh-CN" w:bidi="ar-SA"/>
        </w:rPr>
        <w:t>年全面开展项目建设与实施，确保按时完工并投入使用。</w:t>
      </w:r>
    </w:p>
    <w:p>
      <w:pPr>
        <w:pStyle w:val="8"/>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kern w:val="2"/>
          <w:sz w:val="32"/>
          <w:szCs w:val="32"/>
          <w:highlight w:val="none"/>
          <w:lang w:val="en-US" w:eastAsia="zh-CN" w:bidi="ar-SA"/>
        </w:rPr>
      </w:pPr>
      <w:r>
        <w:rPr>
          <w:rFonts w:hint="eastAsia" w:ascii="Times New RomanBK" w:hAnsi="Times New RomanBK" w:eastAsia="方正仿宋_GBK" w:cs="Times New RomanBK"/>
          <w:kern w:val="2"/>
          <w:sz w:val="32"/>
          <w:szCs w:val="32"/>
          <w:highlight w:val="none"/>
          <w:lang w:val="en-US" w:eastAsia="zh-CN" w:bidi="ar-SA"/>
        </w:rPr>
        <w:t>3.分析</w:t>
      </w:r>
      <w:r>
        <w:rPr>
          <w:rFonts w:hint="eastAsia" w:ascii="方正仿宋_GBK" w:hAnsi="方正仿宋_GBK" w:eastAsia="方正仿宋_GBK" w:cs="方正仿宋_GBK"/>
          <w:kern w:val="2"/>
          <w:sz w:val="32"/>
          <w:szCs w:val="32"/>
          <w:highlight w:val="none"/>
          <w:lang w:val="en-US" w:eastAsia="zh-CN" w:bidi="ar-SA"/>
        </w:rPr>
        <w:t>评价申报内容是否与实际相符，申报目标是否合理可行：申报内容与实际开展项目一致，紧密结合民族地区发展需求。申报目标基于民族地区现状与发展趋势设定，具有明确的量化指标与可操作性，合理可行。</w:t>
      </w:r>
    </w:p>
    <w:p>
      <w:pPr>
        <w:pStyle w:val="8"/>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方正楷体_GBK" w:hAnsi="方正楷体_GBK" w:eastAsia="方正楷体_GBK" w:cs="方正楷体_GBK"/>
          <w:b/>
          <w:bCs/>
          <w:kern w:val="2"/>
          <w:sz w:val="32"/>
          <w:szCs w:val="32"/>
          <w:lang w:val="en-US" w:eastAsia="zh-CN" w:bidi="ar-SA"/>
        </w:rPr>
      </w:pPr>
      <w:r>
        <w:rPr>
          <w:rFonts w:hint="eastAsia" w:ascii="方正楷体_GBK" w:hAnsi="方正楷体_GBK" w:eastAsia="方正楷体_GBK" w:cs="方正楷体_GBK"/>
          <w:b/>
          <w:bCs/>
          <w:kern w:val="2"/>
          <w:sz w:val="32"/>
          <w:szCs w:val="32"/>
          <w:lang w:val="en-US" w:eastAsia="zh-CN" w:bidi="ar-SA"/>
        </w:rPr>
        <w:t>（三）项目绩效目标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ascii="Times New RomanBK" w:hAnsi="Times New RomanBK" w:eastAsia="方正仿宋_GBK" w:cs="Times New RomanBK"/>
          <w:kern w:val="2"/>
          <w:sz w:val="32"/>
          <w:szCs w:val="32"/>
          <w:highlight w:val="none"/>
          <w:lang w:val="en-US" w:eastAsia="zh-CN" w:bidi="ar-SA"/>
        </w:rPr>
        <w:t>收集项目相关资料，包括项目申报文件、资金使用凭证、项目实施进度报告等。依据绩效评价指标体系，从项目决策、项目管理、项目产出、项目效益等方面对项目进行评价。采用定量与定性分析相结合的方法，定量指标通过数据统计分析评价，定性指标通过实地调研、问卷调查、访谈等方式获取信息并评价。</w:t>
      </w:r>
    </w:p>
    <w:p>
      <w:pPr>
        <w:keepNext w:val="0"/>
        <w:keepLines w:val="0"/>
        <w:pageBreakBefore w:val="0"/>
        <w:widowControl w:val="0"/>
        <w:numPr>
          <w:ilvl w:val="0"/>
          <w:numId w:val="0"/>
        </w:numPr>
        <w:kinsoku/>
        <w:wordWrap/>
        <w:overflowPunct/>
        <w:topLinePunct w:val="0"/>
        <w:bidi w:val="0"/>
        <w:adjustRightInd/>
        <w:snapToGrid/>
        <w:spacing w:line="240" w:lineRule="auto"/>
        <w:ind w:firstLine="640" w:firstLineChars="200"/>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二、项目资金申报及使用情况</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642" w:firstLineChars="200"/>
        <w:jc w:val="both"/>
        <w:textAlignment w:val="auto"/>
        <w:outlineLvl w:val="9"/>
        <w:rPr>
          <w:rFonts w:hint="eastAsia" w:ascii="方正楷体_GBK" w:hAnsi="方正楷体_GBK" w:eastAsia="方正楷体_GBK" w:cs="方正楷体_GBK"/>
          <w:b/>
          <w:caps w:val="0"/>
          <w:color w:val="auto"/>
          <w:sz w:val="32"/>
          <w:szCs w:val="32"/>
          <w:vertAlign w:val="baseline"/>
          <w:lang w:val="zh-CN"/>
        </w:rPr>
      </w:pPr>
      <w:r>
        <w:rPr>
          <w:rFonts w:hint="eastAsia" w:ascii="方正楷体_GBK" w:hAnsi="方正楷体_GBK" w:eastAsia="方正楷体_GBK" w:cs="方正楷体_GBK"/>
          <w:b/>
          <w:bCs w:val="0"/>
          <w:caps w:val="0"/>
          <w:color w:val="auto"/>
          <w:kern w:val="2"/>
          <w:sz w:val="32"/>
          <w:szCs w:val="32"/>
          <w:vertAlign w:val="baseline"/>
          <w:lang w:val="zh-CN" w:eastAsia="zh-CN" w:bidi="ar"/>
        </w:rPr>
        <w:t>（一）项目资金申报及批复情况</w:t>
      </w:r>
    </w:p>
    <w:p>
      <w:pPr>
        <w:keepNext w:val="0"/>
        <w:keepLines w:val="0"/>
        <w:pageBreakBefore w:val="0"/>
        <w:widowControl w:val="0"/>
        <w:numPr>
          <w:ilvl w:val="0"/>
          <w:numId w:val="0"/>
        </w:numPr>
        <w:kinsoku/>
        <w:wordWrap/>
        <w:overflowPunct/>
        <w:topLinePunct w:val="0"/>
        <w:bidi w:val="0"/>
        <w:adjustRightInd/>
        <w:snapToGrid/>
        <w:spacing w:line="240" w:lineRule="auto"/>
        <w:ind w:firstLine="640"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kern w:val="2"/>
          <w:sz w:val="32"/>
          <w:szCs w:val="32"/>
          <w:highlight w:val="none"/>
          <w:lang w:val="en-US" w:eastAsia="zh-CN" w:bidi="ar-SA"/>
        </w:rPr>
        <w:t>各项目实施单位根据项目规划与需求，按规定程序申报资金。经主管部门审核、财政部门批复，下达资金预算。部分项目因实际情况调整预算，均履行了相关审批手续，确保资金申报、批复及预算调整程序合规。</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642" w:firstLineChars="200"/>
        <w:jc w:val="both"/>
        <w:textAlignment w:val="auto"/>
        <w:outlineLvl w:val="9"/>
      </w:pPr>
      <w:r>
        <w:rPr>
          <w:rFonts w:hint="default" w:ascii="Times New Roman" w:hAnsi="Times New Roman" w:eastAsia="楷体_GB2312" w:cs="楷体_GB2312"/>
          <w:b/>
          <w:bCs w:val="0"/>
          <w:caps w:val="0"/>
          <w:color w:val="auto"/>
          <w:kern w:val="2"/>
          <w:sz w:val="32"/>
          <w:szCs w:val="32"/>
          <w:vertAlign w:val="baseline"/>
          <w:lang w:val="zh-CN" w:eastAsia="zh-CN" w:bidi="ar"/>
        </w:rPr>
        <w:t>（二）资金计划、到位及使用情况</w:t>
      </w:r>
    </w:p>
    <w:tbl>
      <w:tblPr>
        <w:tblStyle w:val="16"/>
        <w:tblW w:w="9279" w:type="dxa"/>
        <w:tblInd w:w="93"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7050"/>
        <w:gridCol w:w="1104"/>
        <w:gridCol w:w="112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500" w:hRule="atLeast"/>
        </w:trPr>
        <w:tc>
          <w:tcPr>
            <w:tcW w:w="9279" w:type="dxa"/>
            <w:gridSpan w:val="3"/>
            <w:tcBorders>
              <w:top w:val="nil"/>
              <w:left w:val="nil"/>
              <w:bottom w:val="nil"/>
              <w:right w:val="nil"/>
            </w:tcBorders>
            <w:noWrap/>
            <w:vAlign w:val="bottom"/>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bottom"/>
              <w:outlineLvl w:val="9"/>
              <w:rPr>
                <w:rFonts w:hint="default" w:ascii="微软简标宋" w:hAnsi="微软简标宋" w:eastAsia="微软简标宋" w:cs="微软简标宋"/>
                <w:i w:val="0"/>
                <w:caps w:val="0"/>
                <w:color w:val="000000"/>
                <w:sz w:val="40"/>
                <w:szCs w:val="40"/>
                <w:u w:val="none"/>
                <w:vertAlign w:val="baseline"/>
              </w:rPr>
            </w:pPr>
            <w:r>
              <w:rPr>
                <w:rFonts w:hint="default" w:ascii="微软简标宋" w:hAnsi="微软简标宋" w:eastAsia="微软简标宋" w:cs="微软简标宋"/>
                <w:b w:val="0"/>
                <w:bCs w:val="0"/>
                <w:i w:val="0"/>
                <w:caps w:val="0"/>
                <w:color w:val="000000"/>
                <w:kern w:val="0"/>
                <w:sz w:val="44"/>
                <w:szCs w:val="44"/>
                <w:u w:val="none"/>
                <w:vertAlign w:val="baseline"/>
                <w:lang w:val="en-US" w:eastAsia="zh-CN" w:bidi="ar"/>
              </w:rPr>
              <w:t>攀枝花市2024年四川省民族地区开发资金表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318" w:hRule="atLeast"/>
        </w:trPr>
        <w:tc>
          <w:tcPr>
            <w:tcW w:w="705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eastAsia" w:ascii="宋体" w:hAnsi="宋体" w:eastAsia="宋体" w:cs="宋体"/>
                <w:i w:val="0"/>
                <w:caps w:val="0"/>
                <w:color w:val="000000"/>
                <w:sz w:val="20"/>
                <w:szCs w:val="20"/>
                <w:u w:val="none"/>
                <w:vertAlign w:val="baseline"/>
              </w:rPr>
            </w:pPr>
            <w:r>
              <w:rPr>
                <w:rFonts w:hint="eastAsia" w:ascii="宋体" w:hAnsi="宋体" w:eastAsia="宋体" w:cs="宋体"/>
                <w:b w:val="0"/>
                <w:bCs w:val="0"/>
                <w:i w:val="0"/>
                <w:caps w:val="0"/>
                <w:color w:val="000000"/>
                <w:kern w:val="0"/>
                <w:sz w:val="20"/>
                <w:szCs w:val="20"/>
                <w:u w:val="none"/>
                <w:vertAlign w:val="baseline"/>
                <w:lang w:val="en-US" w:eastAsia="zh-CN" w:bidi="ar"/>
              </w:rPr>
              <w:t>项目名称</w:t>
            </w:r>
          </w:p>
        </w:tc>
        <w:tc>
          <w:tcPr>
            <w:tcW w:w="2229"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eastAsia" w:ascii="宋体" w:hAnsi="宋体" w:eastAsia="宋体" w:cs="宋体"/>
                <w:i w:val="0"/>
                <w:caps w:val="0"/>
                <w:color w:val="000000"/>
                <w:sz w:val="20"/>
                <w:szCs w:val="20"/>
                <w:u w:val="none"/>
                <w:vertAlign w:val="baseline"/>
              </w:rPr>
            </w:pPr>
            <w:r>
              <w:rPr>
                <w:rFonts w:hint="eastAsia" w:ascii="宋体" w:hAnsi="宋体" w:eastAsia="宋体" w:cs="宋体"/>
                <w:b w:val="0"/>
                <w:bCs w:val="0"/>
                <w:i w:val="0"/>
                <w:caps w:val="0"/>
                <w:color w:val="000000"/>
                <w:kern w:val="0"/>
                <w:sz w:val="20"/>
                <w:szCs w:val="20"/>
                <w:u w:val="none"/>
                <w:vertAlign w:val="baseline"/>
                <w:lang w:val="en-US" w:eastAsia="zh-CN" w:bidi="ar"/>
              </w:rPr>
              <w:t>资金使用情况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318" w:hRule="atLeast"/>
        </w:trPr>
        <w:tc>
          <w:tcPr>
            <w:tcW w:w="7050"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ascii="宋体"/>
                <w:sz w:val="24"/>
                <w:szCs w:val="24"/>
              </w:rPr>
            </w:pPr>
          </w:p>
        </w:tc>
        <w:tc>
          <w:tcPr>
            <w:tcW w:w="1104"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eastAsia" w:ascii="宋体" w:hAnsi="宋体" w:eastAsia="宋体" w:cs="宋体"/>
                <w:i w:val="0"/>
                <w:caps w:val="0"/>
                <w:color w:val="000000"/>
                <w:sz w:val="20"/>
                <w:szCs w:val="20"/>
                <w:u w:val="none"/>
                <w:vertAlign w:val="baseline"/>
              </w:rPr>
            </w:pPr>
            <w:r>
              <w:rPr>
                <w:rFonts w:hint="eastAsia" w:ascii="宋体" w:hAnsi="宋体" w:eastAsia="宋体" w:cs="宋体"/>
                <w:b w:val="0"/>
                <w:bCs w:val="0"/>
                <w:i w:val="0"/>
                <w:caps w:val="0"/>
                <w:color w:val="000000"/>
                <w:kern w:val="0"/>
                <w:sz w:val="20"/>
                <w:szCs w:val="20"/>
                <w:u w:val="none"/>
                <w:vertAlign w:val="baseline"/>
                <w:lang w:val="en-US" w:eastAsia="zh-CN" w:bidi="ar"/>
              </w:rPr>
              <w:t>补助资金（万元）</w:t>
            </w:r>
          </w:p>
        </w:tc>
        <w:tc>
          <w:tcPr>
            <w:tcW w:w="112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eastAsia" w:ascii="宋体" w:hAnsi="宋体" w:eastAsia="宋体" w:cs="宋体"/>
                <w:i w:val="0"/>
                <w:caps w:val="0"/>
                <w:color w:val="000000"/>
                <w:sz w:val="20"/>
                <w:szCs w:val="20"/>
                <w:u w:val="none"/>
                <w:vertAlign w:val="baseline"/>
              </w:rPr>
            </w:pPr>
            <w:r>
              <w:rPr>
                <w:rFonts w:hint="eastAsia" w:ascii="宋体" w:hAnsi="宋体" w:eastAsia="宋体" w:cs="宋体"/>
                <w:b w:val="0"/>
                <w:bCs w:val="0"/>
                <w:i w:val="0"/>
                <w:caps w:val="0"/>
                <w:color w:val="000000"/>
                <w:kern w:val="0"/>
                <w:sz w:val="20"/>
                <w:szCs w:val="20"/>
                <w:u w:val="none"/>
                <w:vertAlign w:val="baseline"/>
                <w:lang w:val="en-US" w:eastAsia="zh-CN" w:bidi="ar"/>
              </w:rPr>
              <w:t>资金拨付或报帐进度（万元）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819" w:hRule="atLeast"/>
        </w:trPr>
        <w:tc>
          <w:tcPr>
            <w:tcW w:w="7050"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ascii="宋体"/>
                <w:sz w:val="24"/>
                <w:szCs w:val="24"/>
              </w:rPr>
            </w:pPr>
          </w:p>
        </w:tc>
        <w:tc>
          <w:tcPr>
            <w:tcW w:w="1104"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ascii="宋体"/>
                <w:sz w:val="24"/>
                <w:szCs w:val="24"/>
              </w:rPr>
            </w:pPr>
          </w:p>
        </w:tc>
        <w:tc>
          <w:tcPr>
            <w:tcW w:w="1125"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textAlignment w:val="center"/>
              <w:outlineLvl w:val="9"/>
              <w:rPr>
                <w:rFonts w:hint="eastAsia" w:ascii="宋体" w:hAnsi="宋体" w:eastAsia="宋体" w:cs="宋体"/>
                <w:i w:val="0"/>
                <w:caps w:val="0"/>
                <w:color w:val="000000"/>
                <w:sz w:val="20"/>
                <w:szCs w:val="20"/>
                <w:u w:val="none"/>
                <w:vertAlign w:val="baseline"/>
              </w:rPr>
            </w:pPr>
            <w:r>
              <w:rPr>
                <w:rFonts w:hint="eastAsia" w:ascii="宋体" w:hAnsi="宋体" w:eastAsia="宋体" w:cs="宋体"/>
                <w:b w:val="0"/>
                <w:bCs w:val="0"/>
                <w:i w:val="0"/>
                <w:caps w:val="0"/>
                <w:color w:val="000000"/>
                <w:kern w:val="0"/>
                <w:sz w:val="20"/>
                <w:szCs w:val="20"/>
                <w:u w:val="none"/>
                <w:vertAlign w:val="baseline"/>
                <w:lang w:val="en-US" w:eastAsia="zh-CN" w:bidi="ar"/>
              </w:rPr>
              <w:t>仁和区平地镇迤沙拉村民族团结进步示范村项目</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eastAsia" w:ascii="宋体" w:hAnsi="宋体" w:eastAsia="宋体" w:cs="宋体"/>
                <w:i w:val="0"/>
                <w:caps w:val="0"/>
                <w:color w:val="000000"/>
                <w:sz w:val="22"/>
                <w:szCs w:val="22"/>
                <w:u w:val="none"/>
                <w:vertAlign w:val="baseline"/>
              </w:rPr>
            </w:pPr>
            <w:r>
              <w:rPr>
                <w:rFonts w:hint="eastAsia" w:ascii="宋体" w:hAnsi="宋体" w:eastAsia="宋体" w:cs="宋体"/>
                <w:b w:val="0"/>
                <w:bCs w:val="0"/>
                <w:i w:val="0"/>
                <w:caps w:val="0"/>
                <w:color w:val="000000"/>
                <w:kern w:val="0"/>
                <w:sz w:val="22"/>
                <w:szCs w:val="22"/>
                <w:u w:val="none"/>
                <w:vertAlign w:val="baseline"/>
                <w:lang w:val="en-US" w:eastAsia="zh-CN" w:bidi="ar"/>
              </w:rPr>
              <w:t xml:space="preserve">300 </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eastAsia" w:ascii="宋体" w:hAnsi="宋体" w:eastAsia="宋体" w:cs="宋体"/>
                <w:i w:val="0"/>
                <w:caps w:val="0"/>
                <w:color w:val="000000"/>
                <w:sz w:val="22"/>
                <w:szCs w:val="22"/>
                <w:u w:val="none"/>
                <w:vertAlign w:val="baseline"/>
              </w:rPr>
            </w:pPr>
            <w:r>
              <w:rPr>
                <w:rFonts w:hint="eastAsia" w:ascii="宋体" w:hAnsi="宋体" w:eastAsia="宋体" w:cs="宋体"/>
                <w:b w:val="0"/>
                <w:bCs w:val="0"/>
                <w:i w:val="0"/>
                <w:caps w:val="0"/>
                <w:color w:val="000000"/>
                <w:kern w:val="0"/>
                <w:sz w:val="22"/>
                <w:szCs w:val="22"/>
                <w:u w:val="none"/>
                <w:vertAlign w:val="baseline"/>
                <w:lang w:val="en-US" w:eastAsia="zh-CN" w:bidi="ar"/>
              </w:rPr>
              <w:t xml:space="preserve">84.30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textAlignment w:val="center"/>
              <w:outlineLvl w:val="9"/>
              <w:rPr>
                <w:rFonts w:hint="eastAsia" w:ascii="宋体" w:hAnsi="宋体" w:eastAsia="宋体" w:cs="宋体"/>
                <w:i w:val="0"/>
                <w:caps w:val="0"/>
                <w:color w:val="000000"/>
                <w:sz w:val="20"/>
                <w:szCs w:val="20"/>
                <w:u w:val="none"/>
                <w:vertAlign w:val="baseline"/>
              </w:rPr>
            </w:pPr>
            <w:r>
              <w:rPr>
                <w:rFonts w:hint="eastAsia" w:ascii="宋体" w:hAnsi="宋体" w:eastAsia="宋体" w:cs="宋体"/>
                <w:b w:val="0"/>
                <w:bCs w:val="0"/>
                <w:i w:val="0"/>
                <w:caps w:val="0"/>
                <w:color w:val="000000"/>
                <w:kern w:val="0"/>
                <w:sz w:val="20"/>
                <w:szCs w:val="20"/>
                <w:u w:val="none"/>
                <w:vertAlign w:val="baseline"/>
                <w:lang w:val="en-US" w:eastAsia="zh-CN" w:bidi="ar"/>
              </w:rPr>
              <w:t>仁和区中坝中心学校“铸牢中华民族共同体意识”建设工程项目</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eastAsia" w:ascii="宋体" w:hAnsi="宋体" w:eastAsia="宋体" w:cs="宋体"/>
                <w:i w:val="0"/>
                <w:caps w:val="0"/>
                <w:color w:val="000000"/>
                <w:sz w:val="22"/>
                <w:szCs w:val="22"/>
                <w:u w:val="none"/>
                <w:vertAlign w:val="baseline"/>
              </w:rPr>
            </w:pPr>
            <w:r>
              <w:rPr>
                <w:rFonts w:hint="eastAsia" w:ascii="宋体" w:hAnsi="宋体" w:eastAsia="宋体" w:cs="宋体"/>
                <w:b w:val="0"/>
                <w:bCs w:val="0"/>
                <w:i w:val="0"/>
                <w:caps w:val="0"/>
                <w:color w:val="000000"/>
                <w:kern w:val="0"/>
                <w:sz w:val="22"/>
                <w:szCs w:val="22"/>
                <w:u w:val="none"/>
                <w:vertAlign w:val="baseline"/>
                <w:lang w:val="en-US" w:eastAsia="zh-CN" w:bidi="ar"/>
              </w:rPr>
              <w:t xml:space="preserve">10 </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eastAsia" w:ascii="宋体" w:hAnsi="宋体" w:eastAsia="宋体" w:cs="宋体"/>
                <w:i w:val="0"/>
                <w:caps w:val="0"/>
                <w:color w:val="000000"/>
                <w:sz w:val="22"/>
                <w:szCs w:val="22"/>
                <w:u w:val="none"/>
                <w:vertAlign w:val="baseline"/>
              </w:rPr>
            </w:pPr>
            <w:r>
              <w:rPr>
                <w:rFonts w:hint="eastAsia" w:ascii="宋体" w:hAnsi="宋体" w:eastAsia="宋体" w:cs="宋体"/>
                <w:b w:val="0"/>
                <w:bCs w:val="0"/>
                <w:i w:val="0"/>
                <w:caps w:val="0"/>
                <w:color w:val="000000"/>
                <w:kern w:val="0"/>
                <w:sz w:val="22"/>
                <w:szCs w:val="22"/>
                <w:u w:val="none"/>
                <w:vertAlign w:val="baseline"/>
                <w:lang w:val="en-US" w:eastAsia="zh-CN" w:bidi="ar"/>
              </w:rPr>
              <w:t xml:space="preserve">10.00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textAlignment w:val="center"/>
              <w:outlineLvl w:val="9"/>
              <w:rPr>
                <w:rFonts w:hint="eastAsia" w:ascii="宋体" w:hAnsi="宋体" w:eastAsia="宋体" w:cs="宋体"/>
                <w:i w:val="0"/>
                <w:caps w:val="0"/>
                <w:color w:val="000000"/>
                <w:sz w:val="20"/>
                <w:szCs w:val="20"/>
                <w:u w:val="none"/>
                <w:vertAlign w:val="baseline"/>
              </w:rPr>
            </w:pPr>
            <w:r>
              <w:rPr>
                <w:rFonts w:hint="eastAsia" w:ascii="宋体" w:hAnsi="宋体" w:eastAsia="宋体" w:cs="宋体"/>
                <w:b w:val="0"/>
                <w:bCs w:val="0"/>
                <w:i w:val="0"/>
                <w:caps w:val="0"/>
                <w:color w:val="000000"/>
                <w:kern w:val="0"/>
                <w:sz w:val="20"/>
                <w:szCs w:val="20"/>
                <w:u w:val="none"/>
                <w:vertAlign w:val="baseline"/>
                <w:lang w:val="en-US" w:eastAsia="zh-CN" w:bidi="ar"/>
              </w:rPr>
              <w:t>仁和区前进镇中心学校打造全市民族团结进步示范学校升级版项目</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eastAsia" w:ascii="宋体" w:hAnsi="宋体" w:eastAsia="宋体" w:cs="宋体"/>
                <w:i w:val="0"/>
                <w:caps w:val="0"/>
                <w:color w:val="000000"/>
                <w:sz w:val="22"/>
                <w:szCs w:val="22"/>
                <w:u w:val="none"/>
                <w:vertAlign w:val="baseline"/>
              </w:rPr>
            </w:pPr>
            <w:r>
              <w:rPr>
                <w:rFonts w:hint="eastAsia" w:ascii="宋体" w:hAnsi="宋体" w:eastAsia="宋体" w:cs="宋体"/>
                <w:b w:val="0"/>
                <w:bCs w:val="0"/>
                <w:i w:val="0"/>
                <w:caps w:val="0"/>
                <w:color w:val="000000"/>
                <w:kern w:val="0"/>
                <w:sz w:val="22"/>
                <w:szCs w:val="22"/>
                <w:u w:val="none"/>
                <w:vertAlign w:val="baseline"/>
                <w:lang w:val="en-US" w:eastAsia="zh-CN" w:bidi="ar"/>
              </w:rPr>
              <w:t xml:space="preserve">10 </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9"/>
              <w:rPr>
                <w:rFonts w:hint="eastAsia" w:ascii="宋体" w:hAnsi="宋体" w:eastAsia="宋体" w:cs="宋体"/>
                <w:i w:val="0"/>
                <w:caps w:val="0"/>
                <w:color w:val="000000"/>
                <w:sz w:val="22"/>
                <w:szCs w:val="22"/>
                <w:u w:val="none"/>
                <w:vertAlign w:val="baseli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textAlignment w:val="center"/>
              <w:outlineLvl w:val="9"/>
              <w:rPr>
                <w:rFonts w:hint="eastAsia" w:ascii="宋体" w:hAnsi="宋体" w:eastAsia="宋体" w:cs="宋体"/>
                <w:i w:val="0"/>
                <w:caps w:val="0"/>
                <w:color w:val="000000"/>
                <w:sz w:val="20"/>
                <w:szCs w:val="20"/>
                <w:u w:val="none"/>
                <w:vertAlign w:val="baseline"/>
              </w:rPr>
            </w:pPr>
            <w:r>
              <w:rPr>
                <w:rFonts w:hint="eastAsia" w:ascii="宋体" w:hAnsi="宋体" w:eastAsia="宋体" w:cs="宋体"/>
                <w:b w:val="0"/>
                <w:bCs w:val="0"/>
                <w:i w:val="0"/>
                <w:caps w:val="0"/>
                <w:color w:val="000000"/>
                <w:kern w:val="0"/>
                <w:sz w:val="20"/>
                <w:szCs w:val="20"/>
                <w:u w:val="none"/>
                <w:vertAlign w:val="baseline"/>
                <w:lang w:val="en-US" w:eastAsia="zh-CN" w:bidi="ar"/>
              </w:rPr>
              <w:t>仁和区平地镇中心学校创建全国民族团结进步示范市重点点位打造项目工程</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eastAsia" w:ascii="宋体" w:hAnsi="宋体" w:eastAsia="宋体" w:cs="宋体"/>
                <w:i w:val="0"/>
                <w:caps w:val="0"/>
                <w:color w:val="000000"/>
                <w:sz w:val="22"/>
                <w:szCs w:val="22"/>
                <w:u w:val="none"/>
                <w:vertAlign w:val="baseline"/>
              </w:rPr>
            </w:pPr>
            <w:r>
              <w:rPr>
                <w:rFonts w:hint="eastAsia" w:ascii="宋体" w:hAnsi="宋体" w:eastAsia="宋体" w:cs="宋体"/>
                <w:b w:val="0"/>
                <w:bCs w:val="0"/>
                <w:i w:val="0"/>
                <w:caps w:val="0"/>
                <w:color w:val="000000"/>
                <w:kern w:val="0"/>
                <w:sz w:val="22"/>
                <w:szCs w:val="22"/>
                <w:u w:val="none"/>
                <w:vertAlign w:val="baseline"/>
                <w:lang w:val="en-US" w:eastAsia="zh-CN" w:bidi="ar"/>
              </w:rPr>
              <w:t xml:space="preserve">10 </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eastAsia" w:ascii="宋体" w:hAnsi="宋体" w:eastAsia="宋体" w:cs="宋体"/>
                <w:i w:val="0"/>
                <w:caps w:val="0"/>
                <w:color w:val="000000"/>
                <w:sz w:val="22"/>
                <w:szCs w:val="22"/>
                <w:u w:val="none"/>
                <w:vertAlign w:val="baseline"/>
              </w:rPr>
            </w:pPr>
            <w:r>
              <w:rPr>
                <w:rFonts w:hint="eastAsia" w:ascii="宋体" w:hAnsi="宋体" w:eastAsia="宋体" w:cs="宋体"/>
                <w:b w:val="0"/>
                <w:bCs w:val="0"/>
                <w:i w:val="0"/>
                <w:caps w:val="0"/>
                <w:color w:val="000000"/>
                <w:kern w:val="0"/>
                <w:sz w:val="22"/>
                <w:szCs w:val="22"/>
                <w:u w:val="none"/>
                <w:vertAlign w:val="baseline"/>
                <w:lang w:val="en-US" w:eastAsia="zh-CN" w:bidi="ar"/>
              </w:rPr>
              <w:t xml:space="preserve">10.00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textAlignment w:val="center"/>
              <w:outlineLvl w:val="9"/>
              <w:rPr>
                <w:rFonts w:hint="eastAsia" w:ascii="宋体" w:hAnsi="宋体" w:eastAsia="宋体" w:cs="宋体"/>
                <w:i w:val="0"/>
                <w:caps w:val="0"/>
                <w:color w:val="000000"/>
                <w:sz w:val="20"/>
                <w:szCs w:val="20"/>
                <w:u w:val="none"/>
                <w:vertAlign w:val="baseline"/>
              </w:rPr>
            </w:pPr>
            <w:r>
              <w:rPr>
                <w:rFonts w:hint="eastAsia" w:ascii="宋体" w:hAnsi="宋体" w:eastAsia="宋体" w:cs="宋体"/>
                <w:b w:val="0"/>
                <w:bCs w:val="0"/>
                <w:i w:val="0"/>
                <w:caps w:val="0"/>
                <w:color w:val="000000"/>
                <w:kern w:val="0"/>
                <w:sz w:val="20"/>
                <w:szCs w:val="20"/>
                <w:u w:val="none"/>
                <w:vertAlign w:val="baseline"/>
                <w:lang w:val="en-US" w:eastAsia="zh-CN" w:bidi="ar"/>
              </w:rPr>
              <w:t>仁和区五十一公里小学民族团结劳动实践基地改造项目</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eastAsia" w:ascii="宋体" w:hAnsi="宋体" w:eastAsia="宋体" w:cs="宋体"/>
                <w:i w:val="0"/>
                <w:caps w:val="0"/>
                <w:color w:val="000000"/>
                <w:sz w:val="22"/>
                <w:szCs w:val="22"/>
                <w:u w:val="none"/>
                <w:vertAlign w:val="baseline"/>
              </w:rPr>
            </w:pPr>
            <w:r>
              <w:rPr>
                <w:rFonts w:hint="eastAsia" w:ascii="宋体" w:hAnsi="宋体" w:eastAsia="宋体" w:cs="宋体"/>
                <w:b w:val="0"/>
                <w:bCs w:val="0"/>
                <w:i w:val="0"/>
                <w:caps w:val="0"/>
                <w:color w:val="000000"/>
                <w:kern w:val="0"/>
                <w:sz w:val="22"/>
                <w:szCs w:val="22"/>
                <w:u w:val="none"/>
                <w:vertAlign w:val="baseline"/>
                <w:lang w:val="en-US" w:eastAsia="zh-CN" w:bidi="ar"/>
              </w:rPr>
              <w:t xml:space="preserve">10 </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9"/>
              <w:rPr>
                <w:rFonts w:hint="eastAsia" w:ascii="宋体" w:hAnsi="宋体" w:eastAsia="宋体" w:cs="宋体"/>
                <w:i w:val="0"/>
                <w:caps w:val="0"/>
                <w:color w:val="000000"/>
                <w:sz w:val="22"/>
                <w:szCs w:val="22"/>
                <w:u w:val="none"/>
                <w:vertAlign w:val="baseli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textAlignment w:val="center"/>
              <w:outlineLvl w:val="9"/>
              <w:rPr>
                <w:rFonts w:hint="eastAsia" w:ascii="宋体" w:hAnsi="宋体" w:eastAsia="宋体" w:cs="宋体"/>
                <w:i w:val="0"/>
                <w:caps w:val="0"/>
                <w:color w:val="000000"/>
                <w:sz w:val="20"/>
                <w:szCs w:val="20"/>
                <w:u w:val="none"/>
                <w:vertAlign w:val="baseline"/>
              </w:rPr>
            </w:pPr>
            <w:r>
              <w:rPr>
                <w:rFonts w:hint="eastAsia" w:ascii="宋体" w:hAnsi="宋体" w:eastAsia="宋体" w:cs="宋体"/>
                <w:b w:val="0"/>
                <w:bCs w:val="0"/>
                <w:i w:val="0"/>
                <w:caps w:val="0"/>
                <w:color w:val="000000"/>
                <w:kern w:val="0"/>
                <w:sz w:val="20"/>
                <w:szCs w:val="20"/>
                <w:u w:val="none"/>
                <w:vertAlign w:val="baseline"/>
                <w:lang w:val="en-US" w:eastAsia="zh-CN" w:bidi="ar"/>
              </w:rPr>
              <w:t>攀枝花市第六中学民族团结进步示范学校项目</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eastAsia" w:ascii="宋体" w:hAnsi="宋体" w:eastAsia="宋体" w:cs="宋体"/>
                <w:i w:val="0"/>
                <w:caps w:val="0"/>
                <w:color w:val="000000"/>
                <w:sz w:val="22"/>
                <w:szCs w:val="22"/>
                <w:u w:val="none"/>
                <w:vertAlign w:val="baseline"/>
              </w:rPr>
            </w:pPr>
            <w:r>
              <w:rPr>
                <w:rFonts w:hint="eastAsia" w:ascii="宋体" w:hAnsi="宋体" w:eastAsia="宋体" w:cs="宋体"/>
                <w:b w:val="0"/>
                <w:bCs w:val="0"/>
                <w:i w:val="0"/>
                <w:caps w:val="0"/>
                <w:color w:val="000000"/>
                <w:kern w:val="0"/>
                <w:sz w:val="22"/>
                <w:szCs w:val="22"/>
                <w:u w:val="none"/>
                <w:vertAlign w:val="baseline"/>
                <w:lang w:val="en-US" w:eastAsia="zh-CN" w:bidi="ar"/>
              </w:rPr>
              <w:t xml:space="preserve">10 </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9"/>
              <w:rPr>
                <w:rFonts w:hint="eastAsia" w:ascii="宋体" w:hAnsi="宋体" w:eastAsia="宋体" w:cs="宋体"/>
                <w:i w:val="0"/>
                <w:caps w:val="0"/>
                <w:color w:val="000000"/>
                <w:sz w:val="22"/>
                <w:szCs w:val="22"/>
                <w:u w:val="none"/>
                <w:vertAlign w:val="baseli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textAlignment w:val="center"/>
              <w:outlineLvl w:val="9"/>
              <w:rPr>
                <w:rFonts w:hint="eastAsia" w:ascii="宋体" w:hAnsi="宋体" w:eastAsia="宋体" w:cs="宋体"/>
                <w:i w:val="0"/>
                <w:caps w:val="0"/>
                <w:color w:val="000000"/>
                <w:sz w:val="20"/>
                <w:szCs w:val="20"/>
                <w:u w:val="none"/>
                <w:vertAlign w:val="baseline"/>
              </w:rPr>
            </w:pPr>
            <w:r>
              <w:rPr>
                <w:rFonts w:hint="eastAsia" w:ascii="宋体" w:hAnsi="宋体" w:eastAsia="宋体" w:cs="宋体"/>
                <w:b w:val="0"/>
                <w:bCs w:val="0"/>
                <w:i w:val="0"/>
                <w:caps w:val="0"/>
                <w:color w:val="000000"/>
                <w:kern w:val="0"/>
                <w:sz w:val="20"/>
                <w:szCs w:val="20"/>
                <w:u w:val="none"/>
                <w:vertAlign w:val="baseline"/>
                <w:lang w:val="en-US" w:eastAsia="zh-CN" w:bidi="ar"/>
              </w:rPr>
              <w:t>仁和区大龙潭乡混撒拉村民族团结进步示范村项目奖补资金</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eastAsia" w:ascii="宋体" w:hAnsi="宋体" w:eastAsia="宋体" w:cs="宋体"/>
                <w:i w:val="0"/>
                <w:caps w:val="0"/>
                <w:color w:val="000000"/>
                <w:sz w:val="22"/>
                <w:szCs w:val="22"/>
                <w:u w:val="none"/>
                <w:vertAlign w:val="baseline"/>
              </w:rPr>
            </w:pPr>
            <w:r>
              <w:rPr>
                <w:rFonts w:hint="eastAsia" w:ascii="宋体" w:hAnsi="宋体" w:eastAsia="宋体" w:cs="宋体"/>
                <w:b w:val="0"/>
                <w:bCs w:val="0"/>
                <w:i w:val="0"/>
                <w:caps w:val="0"/>
                <w:color w:val="000000"/>
                <w:kern w:val="0"/>
                <w:sz w:val="22"/>
                <w:szCs w:val="22"/>
                <w:u w:val="none"/>
                <w:vertAlign w:val="baseline"/>
                <w:lang w:val="en-US" w:eastAsia="zh-CN" w:bidi="ar"/>
              </w:rPr>
              <w:t xml:space="preserve">50 </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9"/>
              <w:rPr>
                <w:rFonts w:hint="eastAsia" w:ascii="宋体" w:hAnsi="宋体" w:eastAsia="宋体" w:cs="宋体"/>
                <w:i w:val="0"/>
                <w:caps w:val="0"/>
                <w:color w:val="000000"/>
                <w:sz w:val="22"/>
                <w:szCs w:val="22"/>
                <w:u w:val="none"/>
                <w:vertAlign w:val="baseli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textAlignment w:val="center"/>
              <w:outlineLvl w:val="9"/>
              <w:rPr>
                <w:rFonts w:hint="eastAsia" w:ascii="宋体" w:hAnsi="宋体" w:eastAsia="宋体" w:cs="宋体"/>
                <w:i w:val="0"/>
                <w:caps w:val="0"/>
                <w:color w:val="000000"/>
                <w:sz w:val="20"/>
                <w:szCs w:val="20"/>
                <w:u w:val="none"/>
                <w:vertAlign w:val="baseline"/>
              </w:rPr>
            </w:pPr>
            <w:r>
              <w:rPr>
                <w:rFonts w:hint="eastAsia" w:ascii="宋体" w:hAnsi="宋体" w:eastAsia="宋体" w:cs="宋体"/>
                <w:b w:val="0"/>
                <w:bCs w:val="0"/>
                <w:i w:val="0"/>
                <w:caps w:val="0"/>
                <w:color w:val="000000"/>
                <w:kern w:val="0"/>
                <w:sz w:val="20"/>
                <w:szCs w:val="20"/>
                <w:u w:val="none"/>
                <w:vertAlign w:val="baseline"/>
                <w:lang w:val="en-US" w:eastAsia="zh-CN" w:bidi="ar"/>
              </w:rPr>
              <w:t>仁和区啊喇乡核桃产业基地后期扶持项目奖补资金</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eastAsia" w:ascii="宋体" w:hAnsi="宋体" w:eastAsia="宋体" w:cs="宋体"/>
                <w:i w:val="0"/>
                <w:caps w:val="0"/>
                <w:color w:val="000000"/>
                <w:sz w:val="22"/>
                <w:szCs w:val="22"/>
                <w:u w:val="none"/>
                <w:vertAlign w:val="baseline"/>
              </w:rPr>
            </w:pPr>
            <w:r>
              <w:rPr>
                <w:rFonts w:hint="eastAsia" w:ascii="宋体" w:hAnsi="宋体" w:eastAsia="宋体" w:cs="宋体"/>
                <w:b w:val="0"/>
                <w:bCs w:val="0"/>
                <w:i w:val="0"/>
                <w:caps w:val="0"/>
                <w:color w:val="000000"/>
                <w:kern w:val="0"/>
                <w:sz w:val="22"/>
                <w:szCs w:val="22"/>
                <w:u w:val="none"/>
                <w:vertAlign w:val="baseline"/>
                <w:lang w:val="en-US" w:eastAsia="zh-CN" w:bidi="ar"/>
              </w:rPr>
              <w:t xml:space="preserve">50 </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9"/>
              <w:rPr>
                <w:rFonts w:hint="eastAsia" w:ascii="宋体" w:hAnsi="宋体" w:eastAsia="宋体" w:cs="宋体"/>
                <w:i w:val="0"/>
                <w:caps w:val="0"/>
                <w:color w:val="000000"/>
                <w:sz w:val="22"/>
                <w:szCs w:val="22"/>
                <w:u w:val="none"/>
                <w:vertAlign w:val="baseli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textAlignment w:val="center"/>
              <w:outlineLvl w:val="9"/>
              <w:rPr>
                <w:rFonts w:hint="eastAsia" w:ascii="宋体" w:hAnsi="宋体" w:eastAsia="宋体" w:cs="宋体"/>
                <w:i w:val="0"/>
                <w:caps w:val="0"/>
                <w:color w:val="000000"/>
                <w:sz w:val="20"/>
                <w:szCs w:val="20"/>
                <w:u w:val="none"/>
                <w:vertAlign w:val="baseline"/>
              </w:rPr>
            </w:pPr>
            <w:r>
              <w:rPr>
                <w:rFonts w:hint="eastAsia" w:ascii="宋体" w:hAnsi="宋体" w:eastAsia="宋体" w:cs="宋体"/>
                <w:b w:val="0"/>
                <w:bCs w:val="0"/>
                <w:i w:val="0"/>
                <w:caps w:val="0"/>
                <w:color w:val="000000"/>
                <w:kern w:val="0"/>
                <w:sz w:val="20"/>
                <w:szCs w:val="20"/>
                <w:u w:val="none"/>
                <w:vertAlign w:val="baseline"/>
                <w:lang w:val="en-US" w:eastAsia="zh-CN" w:bidi="ar"/>
              </w:rPr>
              <w:t>仁和区项目管理培训费</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eastAsia" w:ascii="宋体" w:hAnsi="宋体" w:eastAsia="宋体" w:cs="宋体"/>
                <w:i w:val="0"/>
                <w:caps w:val="0"/>
                <w:color w:val="000000"/>
                <w:sz w:val="22"/>
                <w:szCs w:val="22"/>
                <w:u w:val="none"/>
                <w:vertAlign w:val="baseline"/>
              </w:rPr>
            </w:pPr>
            <w:r>
              <w:rPr>
                <w:rFonts w:hint="eastAsia" w:ascii="宋体" w:hAnsi="宋体" w:eastAsia="宋体" w:cs="宋体"/>
                <w:b w:val="0"/>
                <w:bCs w:val="0"/>
                <w:i w:val="0"/>
                <w:caps w:val="0"/>
                <w:color w:val="000000"/>
                <w:kern w:val="0"/>
                <w:sz w:val="22"/>
                <w:szCs w:val="22"/>
                <w:u w:val="none"/>
                <w:vertAlign w:val="baseline"/>
                <w:lang w:val="en-US" w:eastAsia="zh-CN" w:bidi="ar"/>
              </w:rPr>
              <w:t xml:space="preserve">5 </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eastAsia" w:ascii="宋体" w:hAnsi="宋体" w:eastAsia="宋体" w:cs="宋体"/>
                <w:i w:val="0"/>
                <w:caps w:val="0"/>
                <w:color w:val="000000"/>
                <w:sz w:val="22"/>
                <w:szCs w:val="22"/>
                <w:u w:val="none"/>
                <w:vertAlign w:val="baseline"/>
              </w:rPr>
            </w:pPr>
            <w:r>
              <w:rPr>
                <w:rFonts w:hint="eastAsia" w:ascii="宋体" w:hAnsi="宋体" w:eastAsia="宋体" w:cs="宋体"/>
                <w:b w:val="0"/>
                <w:bCs w:val="0"/>
                <w:i w:val="0"/>
                <w:caps w:val="0"/>
                <w:color w:val="000000"/>
                <w:kern w:val="0"/>
                <w:sz w:val="22"/>
                <w:szCs w:val="22"/>
                <w:u w:val="none"/>
                <w:vertAlign w:val="baseline"/>
                <w:lang w:val="en-US" w:eastAsia="zh-CN" w:bidi="ar"/>
              </w:rPr>
              <w:t xml:space="preserve">5.00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textAlignment w:val="center"/>
              <w:outlineLvl w:val="9"/>
              <w:rPr>
                <w:rFonts w:hint="eastAsia" w:ascii="宋体" w:hAnsi="宋体" w:eastAsia="宋体" w:cs="宋体"/>
                <w:i w:val="0"/>
                <w:caps w:val="0"/>
                <w:color w:val="000000"/>
                <w:sz w:val="20"/>
                <w:szCs w:val="20"/>
                <w:u w:val="none"/>
                <w:vertAlign w:val="baseline"/>
              </w:rPr>
            </w:pPr>
            <w:r>
              <w:rPr>
                <w:rFonts w:hint="eastAsia" w:ascii="宋体" w:hAnsi="宋体" w:eastAsia="宋体" w:cs="宋体"/>
                <w:b w:val="0"/>
                <w:bCs w:val="0"/>
                <w:i w:val="0"/>
                <w:caps w:val="0"/>
                <w:color w:val="000000"/>
                <w:kern w:val="0"/>
                <w:sz w:val="20"/>
                <w:szCs w:val="20"/>
                <w:u w:val="none"/>
                <w:vertAlign w:val="baseline"/>
                <w:lang w:val="en-US" w:eastAsia="zh-CN" w:bidi="ar"/>
              </w:rPr>
              <w:t>米易县草场镇晃桥村民族团结进步示范村建设项目</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eastAsia" w:ascii="宋体" w:hAnsi="宋体" w:eastAsia="宋体" w:cs="宋体"/>
                <w:i w:val="0"/>
                <w:caps w:val="0"/>
                <w:color w:val="000000"/>
                <w:sz w:val="22"/>
                <w:szCs w:val="22"/>
                <w:u w:val="none"/>
                <w:vertAlign w:val="baseline"/>
              </w:rPr>
            </w:pPr>
            <w:r>
              <w:rPr>
                <w:rFonts w:hint="eastAsia" w:ascii="宋体" w:hAnsi="宋体" w:eastAsia="宋体" w:cs="宋体"/>
                <w:b w:val="0"/>
                <w:bCs w:val="0"/>
                <w:i w:val="0"/>
                <w:caps w:val="0"/>
                <w:color w:val="000000"/>
                <w:kern w:val="0"/>
                <w:sz w:val="22"/>
                <w:szCs w:val="22"/>
                <w:u w:val="none"/>
                <w:vertAlign w:val="baseline"/>
                <w:lang w:val="en-US" w:eastAsia="zh-CN" w:bidi="ar"/>
              </w:rPr>
              <w:t xml:space="preserve">300 </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9"/>
              <w:rPr>
                <w:rFonts w:hint="eastAsia" w:ascii="宋体" w:hAnsi="宋体" w:eastAsia="宋体" w:cs="宋体"/>
                <w:i w:val="0"/>
                <w:caps w:val="0"/>
                <w:color w:val="000000"/>
                <w:sz w:val="22"/>
                <w:szCs w:val="22"/>
                <w:u w:val="none"/>
                <w:vertAlign w:val="baseli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textAlignment w:val="center"/>
              <w:outlineLvl w:val="9"/>
              <w:rPr>
                <w:rFonts w:hint="eastAsia" w:ascii="宋体" w:hAnsi="宋体" w:eastAsia="宋体" w:cs="宋体"/>
                <w:i w:val="0"/>
                <w:caps w:val="0"/>
                <w:color w:val="000000"/>
                <w:sz w:val="20"/>
                <w:szCs w:val="20"/>
                <w:u w:val="none"/>
                <w:vertAlign w:val="baseline"/>
              </w:rPr>
            </w:pPr>
            <w:r>
              <w:rPr>
                <w:rFonts w:hint="eastAsia" w:ascii="宋体" w:hAnsi="宋体" w:eastAsia="宋体" w:cs="宋体"/>
                <w:b w:val="0"/>
                <w:bCs w:val="0"/>
                <w:i w:val="0"/>
                <w:caps w:val="0"/>
                <w:color w:val="000000"/>
                <w:kern w:val="0"/>
                <w:sz w:val="20"/>
                <w:szCs w:val="20"/>
                <w:u w:val="none"/>
                <w:vertAlign w:val="baseline"/>
                <w:lang w:val="en-US" w:eastAsia="zh-CN" w:bidi="ar"/>
              </w:rPr>
              <w:t>四川省米易中学民族团结进步示范学校建设项目</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eastAsia" w:ascii="宋体" w:hAnsi="宋体" w:eastAsia="宋体" w:cs="宋体"/>
                <w:i w:val="0"/>
                <w:caps w:val="0"/>
                <w:color w:val="000000"/>
                <w:sz w:val="22"/>
                <w:szCs w:val="22"/>
                <w:u w:val="none"/>
                <w:vertAlign w:val="baseline"/>
              </w:rPr>
            </w:pPr>
            <w:r>
              <w:rPr>
                <w:rFonts w:hint="eastAsia" w:ascii="宋体" w:hAnsi="宋体" w:eastAsia="宋体" w:cs="宋体"/>
                <w:b w:val="0"/>
                <w:bCs w:val="0"/>
                <w:i w:val="0"/>
                <w:caps w:val="0"/>
                <w:color w:val="000000"/>
                <w:kern w:val="0"/>
                <w:sz w:val="22"/>
                <w:szCs w:val="22"/>
                <w:u w:val="none"/>
                <w:vertAlign w:val="baseline"/>
                <w:lang w:val="en-US" w:eastAsia="zh-CN" w:bidi="ar"/>
              </w:rPr>
              <w:t xml:space="preserve">40 </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9"/>
              <w:rPr>
                <w:rFonts w:hint="eastAsia" w:ascii="宋体" w:hAnsi="宋体" w:eastAsia="宋体" w:cs="宋体"/>
                <w:i w:val="0"/>
                <w:caps w:val="0"/>
                <w:color w:val="000000"/>
                <w:sz w:val="22"/>
                <w:szCs w:val="22"/>
                <w:u w:val="none"/>
                <w:vertAlign w:val="baseli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textAlignment w:val="center"/>
              <w:outlineLvl w:val="9"/>
              <w:rPr>
                <w:rFonts w:hint="eastAsia" w:ascii="宋体" w:hAnsi="宋体" w:eastAsia="宋体" w:cs="宋体"/>
                <w:i w:val="0"/>
                <w:caps w:val="0"/>
                <w:color w:val="000000"/>
                <w:sz w:val="20"/>
                <w:szCs w:val="20"/>
                <w:u w:val="none"/>
                <w:vertAlign w:val="baseline"/>
              </w:rPr>
            </w:pPr>
            <w:r>
              <w:rPr>
                <w:rFonts w:hint="eastAsia" w:ascii="宋体" w:hAnsi="宋体" w:eastAsia="宋体" w:cs="宋体"/>
                <w:b w:val="0"/>
                <w:bCs w:val="0"/>
                <w:i w:val="0"/>
                <w:caps w:val="0"/>
                <w:color w:val="000000"/>
                <w:kern w:val="0"/>
                <w:sz w:val="20"/>
                <w:szCs w:val="20"/>
                <w:u w:val="none"/>
                <w:vertAlign w:val="baseline"/>
                <w:lang w:val="en-US" w:eastAsia="zh-CN" w:bidi="ar"/>
              </w:rPr>
              <w:t>米易县第三初级中学民族团结进步示范学校建设项目</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eastAsia" w:ascii="宋体" w:hAnsi="宋体" w:eastAsia="宋体" w:cs="宋体"/>
                <w:i w:val="0"/>
                <w:caps w:val="0"/>
                <w:color w:val="000000"/>
                <w:sz w:val="22"/>
                <w:szCs w:val="22"/>
                <w:u w:val="none"/>
                <w:vertAlign w:val="baseline"/>
              </w:rPr>
            </w:pPr>
            <w:r>
              <w:rPr>
                <w:rFonts w:hint="eastAsia" w:ascii="宋体" w:hAnsi="宋体" w:eastAsia="宋体" w:cs="宋体"/>
                <w:b w:val="0"/>
                <w:bCs w:val="0"/>
                <w:i w:val="0"/>
                <w:caps w:val="0"/>
                <w:color w:val="000000"/>
                <w:kern w:val="0"/>
                <w:sz w:val="22"/>
                <w:szCs w:val="22"/>
                <w:u w:val="none"/>
                <w:vertAlign w:val="baseline"/>
                <w:lang w:val="en-US" w:eastAsia="zh-CN" w:bidi="ar"/>
              </w:rPr>
              <w:t xml:space="preserve">10 </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9"/>
              <w:rPr>
                <w:rFonts w:hint="eastAsia" w:ascii="宋体" w:hAnsi="宋体" w:eastAsia="宋体" w:cs="宋体"/>
                <w:i w:val="0"/>
                <w:caps w:val="0"/>
                <w:color w:val="000000"/>
                <w:sz w:val="22"/>
                <w:szCs w:val="22"/>
                <w:u w:val="none"/>
                <w:vertAlign w:val="baseli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textAlignment w:val="center"/>
              <w:outlineLvl w:val="9"/>
              <w:rPr>
                <w:rFonts w:hint="eastAsia" w:ascii="宋体" w:hAnsi="宋体" w:eastAsia="宋体" w:cs="宋体"/>
                <w:i w:val="0"/>
                <w:caps w:val="0"/>
                <w:color w:val="000000"/>
                <w:sz w:val="20"/>
                <w:szCs w:val="20"/>
                <w:u w:val="none"/>
                <w:vertAlign w:val="baseline"/>
              </w:rPr>
            </w:pPr>
            <w:r>
              <w:rPr>
                <w:rFonts w:hint="eastAsia" w:ascii="宋体" w:hAnsi="宋体" w:eastAsia="宋体" w:cs="宋体"/>
                <w:b w:val="0"/>
                <w:bCs w:val="0"/>
                <w:i w:val="0"/>
                <w:caps w:val="0"/>
                <w:color w:val="000000"/>
                <w:kern w:val="0"/>
                <w:sz w:val="20"/>
                <w:szCs w:val="20"/>
                <w:u w:val="none"/>
                <w:vertAlign w:val="baseline"/>
                <w:lang w:val="en-US" w:eastAsia="zh-CN" w:bidi="ar"/>
              </w:rPr>
              <w:t>米易县项目管理费</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eastAsia" w:ascii="宋体" w:hAnsi="宋体" w:eastAsia="宋体" w:cs="宋体"/>
                <w:i w:val="0"/>
                <w:caps w:val="0"/>
                <w:color w:val="000000"/>
                <w:sz w:val="22"/>
                <w:szCs w:val="22"/>
                <w:u w:val="none"/>
                <w:vertAlign w:val="baseline"/>
              </w:rPr>
            </w:pPr>
            <w:r>
              <w:rPr>
                <w:rFonts w:hint="eastAsia" w:ascii="宋体" w:hAnsi="宋体" w:eastAsia="宋体" w:cs="宋体"/>
                <w:b w:val="0"/>
                <w:bCs w:val="0"/>
                <w:i w:val="0"/>
                <w:caps w:val="0"/>
                <w:color w:val="000000"/>
                <w:kern w:val="0"/>
                <w:sz w:val="22"/>
                <w:szCs w:val="22"/>
                <w:u w:val="none"/>
                <w:vertAlign w:val="baseline"/>
                <w:lang w:val="en-US" w:eastAsia="zh-CN" w:bidi="ar"/>
              </w:rPr>
              <w:t xml:space="preserve">5 </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9"/>
              <w:rPr>
                <w:rFonts w:hint="eastAsia" w:ascii="宋体" w:hAnsi="宋体" w:eastAsia="宋体" w:cs="宋体"/>
                <w:i w:val="0"/>
                <w:caps w:val="0"/>
                <w:color w:val="000000"/>
                <w:sz w:val="22"/>
                <w:szCs w:val="22"/>
                <w:u w:val="none"/>
                <w:vertAlign w:val="baseli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textAlignment w:val="center"/>
              <w:outlineLvl w:val="9"/>
              <w:rPr>
                <w:rFonts w:hint="eastAsia" w:ascii="宋体" w:hAnsi="宋体" w:eastAsia="宋体" w:cs="宋体"/>
                <w:i w:val="0"/>
                <w:caps w:val="0"/>
                <w:color w:val="000000"/>
                <w:sz w:val="20"/>
                <w:szCs w:val="20"/>
                <w:u w:val="none"/>
                <w:vertAlign w:val="baseline"/>
              </w:rPr>
            </w:pPr>
            <w:r>
              <w:rPr>
                <w:rFonts w:hint="eastAsia" w:ascii="宋体" w:hAnsi="宋体" w:eastAsia="宋体" w:cs="宋体"/>
                <w:b w:val="0"/>
                <w:bCs w:val="0"/>
                <w:i w:val="0"/>
                <w:caps w:val="0"/>
                <w:color w:val="000000"/>
                <w:kern w:val="0"/>
                <w:sz w:val="20"/>
                <w:szCs w:val="20"/>
                <w:u w:val="none"/>
                <w:vertAlign w:val="baseline"/>
                <w:lang w:val="en-US" w:eastAsia="zh-CN" w:bidi="ar"/>
              </w:rPr>
              <w:t>盐边县惠民镇新林村民族团结进步示范村项目</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eastAsia" w:ascii="宋体" w:hAnsi="宋体" w:eastAsia="宋体" w:cs="宋体"/>
                <w:i w:val="0"/>
                <w:caps w:val="0"/>
                <w:color w:val="000000"/>
                <w:sz w:val="22"/>
                <w:szCs w:val="22"/>
                <w:u w:val="none"/>
                <w:vertAlign w:val="baseline"/>
              </w:rPr>
            </w:pPr>
            <w:r>
              <w:rPr>
                <w:rFonts w:hint="eastAsia" w:ascii="宋体" w:hAnsi="宋体" w:eastAsia="宋体" w:cs="宋体"/>
                <w:b w:val="0"/>
                <w:bCs w:val="0"/>
                <w:i w:val="0"/>
                <w:caps w:val="0"/>
                <w:color w:val="000000"/>
                <w:kern w:val="0"/>
                <w:sz w:val="22"/>
                <w:szCs w:val="22"/>
                <w:u w:val="none"/>
                <w:vertAlign w:val="baseline"/>
                <w:lang w:val="en-US" w:eastAsia="zh-CN" w:bidi="ar"/>
              </w:rPr>
              <w:t xml:space="preserve">300 </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eastAsia" w:ascii="宋体" w:hAnsi="宋体" w:eastAsia="宋体" w:cs="宋体"/>
                <w:i w:val="0"/>
                <w:caps w:val="0"/>
                <w:color w:val="000000"/>
                <w:sz w:val="22"/>
                <w:szCs w:val="22"/>
                <w:u w:val="none"/>
                <w:vertAlign w:val="baseline"/>
              </w:rPr>
            </w:pPr>
            <w:r>
              <w:rPr>
                <w:rFonts w:hint="eastAsia" w:ascii="宋体" w:hAnsi="宋体" w:eastAsia="宋体" w:cs="宋体"/>
                <w:b w:val="0"/>
                <w:bCs w:val="0"/>
                <w:i w:val="0"/>
                <w:caps w:val="0"/>
                <w:color w:val="000000"/>
                <w:kern w:val="0"/>
                <w:sz w:val="22"/>
                <w:szCs w:val="22"/>
                <w:u w:val="none"/>
                <w:vertAlign w:val="baseline"/>
                <w:lang w:val="en-US" w:eastAsia="zh-CN" w:bidi="ar"/>
              </w:rPr>
              <w:t xml:space="preserve">233.20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textAlignment w:val="center"/>
              <w:outlineLvl w:val="9"/>
              <w:rPr>
                <w:rFonts w:hint="eastAsia" w:ascii="宋体" w:hAnsi="宋体" w:eastAsia="宋体" w:cs="宋体"/>
                <w:i w:val="0"/>
                <w:caps w:val="0"/>
                <w:color w:val="000000"/>
                <w:sz w:val="20"/>
                <w:szCs w:val="20"/>
                <w:u w:val="none"/>
                <w:vertAlign w:val="baseline"/>
              </w:rPr>
            </w:pPr>
            <w:r>
              <w:rPr>
                <w:rFonts w:hint="eastAsia" w:ascii="宋体" w:hAnsi="宋体" w:eastAsia="宋体" w:cs="宋体"/>
                <w:b w:val="0"/>
                <w:bCs w:val="0"/>
                <w:i w:val="0"/>
                <w:caps w:val="0"/>
                <w:color w:val="000000"/>
                <w:kern w:val="0"/>
                <w:sz w:val="20"/>
                <w:szCs w:val="20"/>
                <w:u w:val="none"/>
                <w:vertAlign w:val="baseline"/>
                <w:lang w:val="en-US" w:eastAsia="zh-CN" w:bidi="ar"/>
              </w:rPr>
              <w:t>盐边县共和乡林海村民族团结进步示范村项目</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eastAsia" w:ascii="宋体" w:hAnsi="宋体" w:eastAsia="宋体" w:cs="宋体"/>
                <w:i w:val="0"/>
                <w:caps w:val="0"/>
                <w:color w:val="000000"/>
                <w:sz w:val="22"/>
                <w:szCs w:val="22"/>
                <w:u w:val="none"/>
                <w:vertAlign w:val="baseline"/>
              </w:rPr>
            </w:pPr>
            <w:r>
              <w:rPr>
                <w:rFonts w:hint="eastAsia" w:ascii="宋体" w:hAnsi="宋体" w:eastAsia="宋体" w:cs="宋体"/>
                <w:b w:val="0"/>
                <w:bCs w:val="0"/>
                <w:i w:val="0"/>
                <w:caps w:val="0"/>
                <w:color w:val="000000"/>
                <w:kern w:val="0"/>
                <w:sz w:val="22"/>
                <w:szCs w:val="22"/>
                <w:u w:val="none"/>
                <w:vertAlign w:val="baseline"/>
                <w:lang w:val="en-US" w:eastAsia="zh-CN" w:bidi="ar"/>
              </w:rPr>
              <w:t xml:space="preserve">300 </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9"/>
              <w:rPr>
                <w:rFonts w:hint="eastAsia" w:ascii="宋体" w:hAnsi="宋体" w:eastAsia="宋体" w:cs="宋体"/>
                <w:i w:val="0"/>
                <w:caps w:val="0"/>
                <w:color w:val="000000"/>
                <w:sz w:val="22"/>
                <w:szCs w:val="22"/>
                <w:u w:val="none"/>
                <w:vertAlign w:val="baseli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textAlignment w:val="center"/>
              <w:outlineLvl w:val="9"/>
              <w:rPr>
                <w:rFonts w:hint="eastAsia" w:ascii="宋体" w:hAnsi="宋体" w:eastAsia="宋体" w:cs="宋体"/>
                <w:i w:val="0"/>
                <w:caps w:val="0"/>
                <w:color w:val="000000"/>
                <w:sz w:val="20"/>
                <w:szCs w:val="20"/>
                <w:u w:val="none"/>
                <w:vertAlign w:val="baseline"/>
              </w:rPr>
            </w:pPr>
            <w:r>
              <w:rPr>
                <w:rFonts w:hint="eastAsia" w:ascii="宋体" w:hAnsi="宋体" w:eastAsia="宋体" w:cs="宋体"/>
                <w:b w:val="0"/>
                <w:bCs w:val="0"/>
                <w:i w:val="0"/>
                <w:caps w:val="0"/>
                <w:color w:val="000000"/>
                <w:kern w:val="0"/>
                <w:sz w:val="20"/>
                <w:szCs w:val="20"/>
                <w:u w:val="none"/>
                <w:vertAlign w:val="baseline"/>
                <w:lang w:val="en-US" w:eastAsia="zh-CN" w:bidi="ar"/>
              </w:rPr>
              <w:t>盐边中学校民族团结进步示范学校</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eastAsia" w:ascii="宋体" w:hAnsi="宋体" w:eastAsia="宋体" w:cs="宋体"/>
                <w:i w:val="0"/>
                <w:caps w:val="0"/>
                <w:color w:val="000000"/>
                <w:sz w:val="22"/>
                <w:szCs w:val="22"/>
                <w:u w:val="none"/>
                <w:vertAlign w:val="baseline"/>
              </w:rPr>
            </w:pPr>
            <w:r>
              <w:rPr>
                <w:rFonts w:hint="eastAsia" w:ascii="宋体" w:hAnsi="宋体" w:eastAsia="宋体" w:cs="宋体"/>
                <w:b w:val="0"/>
                <w:bCs w:val="0"/>
                <w:i w:val="0"/>
                <w:caps w:val="0"/>
                <w:color w:val="000000"/>
                <w:kern w:val="0"/>
                <w:sz w:val="22"/>
                <w:szCs w:val="22"/>
                <w:u w:val="none"/>
                <w:vertAlign w:val="baseline"/>
                <w:lang w:val="en-US" w:eastAsia="zh-CN" w:bidi="ar"/>
              </w:rPr>
              <w:t xml:space="preserve">50 </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9"/>
              <w:rPr>
                <w:rFonts w:hint="eastAsia" w:ascii="宋体" w:hAnsi="宋体" w:eastAsia="宋体" w:cs="宋体"/>
                <w:i w:val="0"/>
                <w:caps w:val="0"/>
                <w:color w:val="000000"/>
                <w:sz w:val="22"/>
                <w:szCs w:val="22"/>
                <w:u w:val="none"/>
                <w:vertAlign w:val="baseli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textAlignment w:val="center"/>
              <w:outlineLvl w:val="9"/>
              <w:rPr>
                <w:rFonts w:hint="eastAsia" w:ascii="宋体" w:hAnsi="宋体" w:eastAsia="宋体" w:cs="宋体"/>
                <w:i w:val="0"/>
                <w:caps w:val="0"/>
                <w:color w:val="000000"/>
                <w:sz w:val="20"/>
                <w:szCs w:val="20"/>
                <w:u w:val="none"/>
                <w:vertAlign w:val="baseline"/>
              </w:rPr>
            </w:pPr>
            <w:r>
              <w:rPr>
                <w:rFonts w:hint="eastAsia" w:ascii="宋体" w:hAnsi="宋体" w:eastAsia="宋体" w:cs="宋体"/>
                <w:b w:val="0"/>
                <w:bCs w:val="0"/>
                <w:i w:val="0"/>
                <w:caps w:val="0"/>
                <w:color w:val="000000"/>
                <w:kern w:val="0"/>
                <w:sz w:val="20"/>
                <w:szCs w:val="20"/>
                <w:u w:val="none"/>
                <w:vertAlign w:val="baseline"/>
                <w:lang w:val="en-US" w:eastAsia="zh-CN" w:bidi="ar"/>
              </w:rPr>
              <w:t>盐边县项目管理费</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eastAsia" w:ascii="宋体" w:hAnsi="宋体" w:eastAsia="宋体" w:cs="宋体"/>
                <w:i w:val="0"/>
                <w:caps w:val="0"/>
                <w:color w:val="000000"/>
                <w:sz w:val="22"/>
                <w:szCs w:val="22"/>
                <w:u w:val="none"/>
                <w:vertAlign w:val="baseline"/>
              </w:rPr>
            </w:pPr>
            <w:r>
              <w:rPr>
                <w:rFonts w:hint="eastAsia" w:ascii="宋体" w:hAnsi="宋体" w:eastAsia="宋体" w:cs="宋体"/>
                <w:b w:val="0"/>
                <w:bCs w:val="0"/>
                <w:i w:val="0"/>
                <w:caps w:val="0"/>
                <w:color w:val="000000"/>
                <w:kern w:val="0"/>
                <w:sz w:val="22"/>
                <w:szCs w:val="22"/>
                <w:u w:val="none"/>
                <w:vertAlign w:val="baseline"/>
                <w:lang w:val="en-US" w:eastAsia="zh-CN" w:bidi="ar"/>
              </w:rPr>
              <w:t xml:space="preserve">5 </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eastAsia" w:ascii="宋体" w:hAnsi="宋体" w:eastAsia="宋体" w:cs="宋体"/>
                <w:i w:val="0"/>
                <w:caps w:val="0"/>
                <w:color w:val="000000"/>
                <w:sz w:val="22"/>
                <w:szCs w:val="22"/>
                <w:u w:val="none"/>
                <w:vertAlign w:val="baseline"/>
              </w:rPr>
            </w:pPr>
            <w:r>
              <w:rPr>
                <w:rFonts w:hint="eastAsia" w:ascii="宋体" w:hAnsi="宋体" w:eastAsia="宋体" w:cs="宋体"/>
                <w:b w:val="0"/>
                <w:bCs w:val="0"/>
                <w:i w:val="0"/>
                <w:caps w:val="0"/>
                <w:color w:val="000000"/>
                <w:kern w:val="0"/>
                <w:sz w:val="22"/>
                <w:szCs w:val="22"/>
                <w:u w:val="none"/>
                <w:vertAlign w:val="baseline"/>
                <w:lang w:val="en-US" w:eastAsia="zh-CN" w:bidi="ar"/>
              </w:rPr>
              <w:t xml:space="preserve">5.00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textAlignment w:val="center"/>
              <w:outlineLvl w:val="9"/>
              <w:rPr>
                <w:rFonts w:hint="eastAsia" w:ascii="宋体" w:hAnsi="宋体" w:eastAsia="宋体" w:cs="宋体"/>
                <w:i w:val="0"/>
                <w:caps w:val="0"/>
                <w:color w:val="000000"/>
                <w:sz w:val="20"/>
                <w:szCs w:val="20"/>
                <w:u w:val="none"/>
                <w:vertAlign w:val="baseline"/>
              </w:rPr>
            </w:pPr>
            <w:r>
              <w:rPr>
                <w:rFonts w:hint="eastAsia" w:ascii="宋体" w:hAnsi="宋体" w:eastAsia="宋体" w:cs="宋体"/>
                <w:b w:val="0"/>
                <w:bCs w:val="0"/>
                <w:i w:val="0"/>
                <w:caps w:val="0"/>
                <w:color w:val="000000"/>
                <w:kern w:val="0"/>
                <w:sz w:val="20"/>
                <w:szCs w:val="20"/>
                <w:u w:val="none"/>
                <w:vertAlign w:val="baseline"/>
                <w:lang w:val="en-US" w:eastAsia="zh-CN" w:bidi="ar"/>
              </w:rPr>
              <w:t>市本级项目管理费</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eastAsia" w:ascii="宋体" w:hAnsi="宋体" w:eastAsia="宋体" w:cs="宋体"/>
                <w:i w:val="0"/>
                <w:caps w:val="0"/>
                <w:color w:val="000000"/>
                <w:sz w:val="22"/>
                <w:szCs w:val="22"/>
                <w:u w:val="none"/>
                <w:vertAlign w:val="baseline"/>
              </w:rPr>
            </w:pPr>
            <w:r>
              <w:rPr>
                <w:rFonts w:hint="eastAsia" w:ascii="宋体" w:hAnsi="宋体" w:eastAsia="宋体" w:cs="宋体"/>
                <w:b w:val="0"/>
                <w:bCs w:val="0"/>
                <w:i w:val="0"/>
                <w:caps w:val="0"/>
                <w:color w:val="000000"/>
                <w:kern w:val="0"/>
                <w:sz w:val="22"/>
                <w:szCs w:val="22"/>
                <w:u w:val="none"/>
                <w:vertAlign w:val="baseline"/>
                <w:lang w:val="en-US" w:eastAsia="zh-CN" w:bidi="ar"/>
              </w:rPr>
              <w:t xml:space="preserve">5 </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9"/>
              <w:rPr>
                <w:rFonts w:hint="default" w:ascii="宋体" w:hAnsi="宋体" w:eastAsia="宋体" w:cs="宋体"/>
                <w:i w:val="0"/>
                <w:caps w:val="0"/>
                <w:color w:val="000000"/>
                <w:sz w:val="22"/>
                <w:szCs w:val="22"/>
                <w:u w:val="none"/>
                <w:vertAlign w:val="baseline"/>
                <w:lang w:val="en-US" w:eastAsia="zh-CN"/>
              </w:rPr>
            </w:pPr>
            <w:r>
              <w:rPr>
                <w:rFonts w:hint="eastAsia" w:ascii="宋体" w:hAnsi="宋体" w:eastAsia="宋体" w:cs="宋体"/>
                <w:i w:val="0"/>
                <w:caps w:val="0"/>
                <w:color w:val="000000"/>
                <w:sz w:val="22"/>
                <w:szCs w:val="22"/>
                <w:u w:val="none"/>
                <w:vertAlign w:val="baseline"/>
                <w:lang w:val="en-US" w:eastAsia="zh-CN"/>
              </w:rPr>
              <w:t>0.51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textAlignment w:val="center"/>
              <w:outlineLvl w:val="9"/>
              <w:rPr>
                <w:rFonts w:hint="eastAsia" w:ascii="宋体" w:hAnsi="宋体" w:eastAsia="宋体" w:cs="宋体"/>
                <w:i w:val="0"/>
                <w:caps w:val="0"/>
                <w:color w:val="000000"/>
                <w:sz w:val="20"/>
                <w:szCs w:val="20"/>
                <w:u w:val="none"/>
                <w:vertAlign w:val="baseline"/>
              </w:rPr>
            </w:pPr>
            <w:r>
              <w:rPr>
                <w:rFonts w:hint="eastAsia" w:ascii="宋体" w:hAnsi="宋体" w:eastAsia="宋体" w:cs="宋体"/>
                <w:b w:val="0"/>
                <w:bCs w:val="0"/>
                <w:i w:val="0"/>
                <w:caps w:val="0"/>
                <w:color w:val="000000"/>
                <w:kern w:val="0"/>
                <w:sz w:val="20"/>
                <w:szCs w:val="20"/>
                <w:u w:val="none"/>
                <w:vertAlign w:val="baseline"/>
                <w:lang w:val="en-US" w:eastAsia="zh-CN" w:bidi="ar"/>
              </w:rPr>
              <w:t>合计</w:t>
            </w:r>
          </w:p>
        </w:tc>
        <w:tc>
          <w:tcPr>
            <w:tcW w:w="11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eastAsia" w:ascii="宋体" w:hAnsi="宋体" w:eastAsia="宋体" w:cs="宋体"/>
                <w:i w:val="0"/>
                <w:caps w:val="0"/>
                <w:color w:val="000000"/>
                <w:sz w:val="22"/>
                <w:szCs w:val="22"/>
                <w:u w:val="none"/>
                <w:vertAlign w:val="baseline"/>
              </w:rPr>
            </w:pPr>
            <w:r>
              <w:rPr>
                <w:rFonts w:hint="eastAsia" w:ascii="宋体" w:hAnsi="宋体" w:eastAsia="宋体" w:cs="宋体"/>
                <w:b w:val="0"/>
                <w:bCs w:val="0"/>
                <w:i w:val="0"/>
                <w:caps w:val="0"/>
                <w:color w:val="000000"/>
                <w:kern w:val="0"/>
                <w:sz w:val="22"/>
                <w:szCs w:val="22"/>
                <w:u w:val="none"/>
                <w:vertAlign w:val="baseline"/>
                <w:lang w:val="en-US" w:eastAsia="zh-CN" w:bidi="ar"/>
              </w:rPr>
              <w:t xml:space="preserve">1470 </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textAlignment w:val="center"/>
              <w:outlineLvl w:val="9"/>
              <w:rPr>
                <w:rFonts w:hint="eastAsia" w:ascii="宋体" w:hAnsi="宋体" w:eastAsia="宋体" w:cs="宋体"/>
                <w:i w:val="0"/>
                <w:caps w:val="0"/>
                <w:color w:val="000000"/>
                <w:sz w:val="22"/>
                <w:szCs w:val="22"/>
                <w:u w:val="none"/>
                <w:vertAlign w:val="baseline"/>
              </w:rPr>
            </w:pPr>
            <w:r>
              <w:rPr>
                <w:rFonts w:hint="eastAsia" w:ascii="宋体" w:hAnsi="宋体" w:eastAsia="宋体" w:cs="宋体"/>
                <w:b w:val="0"/>
                <w:bCs w:val="0"/>
                <w:i w:val="0"/>
                <w:caps w:val="0"/>
                <w:color w:val="000000"/>
                <w:kern w:val="0"/>
                <w:sz w:val="22"/>
                <w:szCs w:val="22"/>
                <w:u w:val="none"/>
                <w:vertAlign w:val="baseline"/>
                <w:lang w:val="en-US" w:eastAsia="zh-CN" w:bidi="ar"/>
              </w:rPr>
              <w:t xml:space="preserve">348.01 </w:t>
            </w:r>
          </w:p>
        </w:tc>
      </w:tr>
    </w:tbl>
    <w:p>
      <w:pPr>
        <w:pStyle w:val="8"/>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eastAsia" w:ascii="方正楷体_GBK" w:hAnsi="方正楷体_GBK" w:eastAsia="方正楷体_GBK" w:cs="方正楷体_GBK"/>
          <w:b/>
          <w:bCs/>
          <w:kern w:val="2"/>
          <w:sz w:val="32"/>
          <w:szCs w:val="32"/>
          <w:lang w:val="en-US" w:eastAsia="zh-CN" w:bidi="ar-SA"/>
        </w:rPr>
      </w:pPr>
      <w:r>
        <w:rPr>
          <w:rFonts w:hint="eastAsia" w:ascii="方正楷体_GBK" w:hAnsi="方正楷体_GBK" w:eastAsia="方正楷体_GBK" w:cs="方正楷体_GBK"/>
          <w:b/>
          <w:bCs/>
          <w:kern w:val="2"/>
          <w:sz w:val="32"/>
          <w:szCs w:val="32"/>
          <w:lang w:val="en-US" w:eastAsia="zh-CN" w:bidi="ar-SA"/>
        </w:rPr>
        <w:t>（三）项目财务管理情况</w:t>
      </w:r>
    </w:p>
    <w:p>
      <w:pPr>
        <w:pStyle w:val="22"/>
        <w:keepNext w:val="0"/>
        <w:keepLines w:val="0"/>
        <w:pageBreakBefore w:val="0"/>
        <w:widowControl w:val="0"/>
        <w:kinsoku/>
        <w:wordWrap/>
        <w:overflowPunct/>
        <w:topLinePunct w:val="0"/>
        <w:autoSpaceDE w:val="0"/>
        <w:autoSpaceDN w:val="0"/>
        <w:bidi w:val="0"/>
        <w:adjustRightInd/>
        <w:snapToGrid/>
        <w:ind w:firstLine="640" w:firstLineChars="200"/>
        <w:textAlignment w:val="auto"/>
        <w:rPr>
          <w:rFonts w:hint="eastAsia" w:ascii="方正仿宋_GBK" w:hAnsi="方正仿宋_GBK" w:eastAsia="方正仿宋_GBK" w:cs="方正仿宋_GBK"/>
          <w:kern w:val="2"/>
          <w:sz w:val="32"/>
          <w:szCs w:val="32"/>
          <w:highlight w:val="none"/>
          <w:lang w:val="zh-CN" w:eastAsia="zh-CN" w:bidi="ar-SA"/>
        </w:rPr>
      </w:pPr>
      <w:r>
        <w:rPr>
          <w:rFonts w:hint="eastAsia" w:ascii="方正仿宋_GBK" w:hAnsi="方正仿宋_GBK" w:eastAsia="方正仿宋_GBK" w:cs="方正仿宋_GBK"/>
          <w:kern w:val="2"/>
          <w:sz w:val="32"/>
          <w:szCs w:val="32"/>
          <w:highlight w:val="none"/>
          <w:lang w:val="zh-CN" w:eastAsia="zh-CN" w:bidi="ar-SA"/>
        </w:rPr>
        <w:t>各项目实施单位制定了财务管理制度，明确资金使用审批流程、财务核算要求等。能严格执行财务管理制度，确保账务处理及时、会计核算规范。</w:t>
      </w:r>
    </w:p>
    <w:p>
      <w:pPr>
        <w:keepNext w:val="0"/>
        <w:keepLines w:val="0"/>
        <w:pageBreakBefore w:val="0"/>
        <w:widowControl w:val="0"/>
        <w:numPr>
          <w:ilvl w:val="0"/>
          <w:numId w:val="0"/>
        </w:numPr>
        <w:kinsoku/>
        <w:wordWrap/>
        <w:overflowPunct/>
        <w:topLinePunct w:val="0"/>
        <w:bidi w:val="0"/>
        <w:adjustRightInd/>
        <w:snapToGrid/>
        <w:spacing w:line="240" w:lineRule="auto"/>
        <w:ind w:firstLine="640" w:firstLineChars="200"/>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三、项目实施及管理情况</w:t>
      </w:r>
    </w:p>
    <w:p>
      <w:pPr>
        <w:keepNext w:val="0"/>
        <w:keepLines w:val="0"/>
        <w:pageBreakBefore w:val="0"/>
        <w:widowControl w:val="0"/>
        <w:numPr>
          <w:ilvl w:val="0"/>
          <w:numId w:val="0"/>
        </w:numPr>
        <w:kinsoku/>
        <w:wordWrap/>
        <w:overflowPunct/>
        <w:topLinePunct w:val="0"/>
        <w:bidi w:val="0"/>
        <w:adjustRightInd/>
        <w:snapToGrid/>
        <w:spacing w:line="240" w:lineRule="auto"/>
        <w:ind w:firstLine="642" w:firstLineChars="200"/>
        <w:jc w:val="both"/>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（一）项目组织架构及实施流程</w:t>
      </w:r>
    </w:p>
    <w:p>
      <w:pPr>
        <w:keepNext w:val="0"/>
        <w:keepLines w:val="0"/>
        <w:pageBreakBefore w:val="0"/>
        <w:widowControl w:val="0"/>
        <w:kinsoku/>
        <w:wordWrap/>
        <w:overflowPunct/>
        <w:topLinePunct w:val="0"/>
        <w:bidi w:val="0"/>
        <w:adjustRightInd/>
        <w:snapToGrid/>
        <w:spacing w:line="240" w:lineRule="auto"/>
        <w:ind w:firstLine="640" w:firstLineChars="200"/>
        <w:textAlignment w:val="auto"/>
        <w:rPr>
          <w:rFonts w:hint="eastAsia" w:ascii="方正楷体_GBK" w:hAnsi="方正楷体_GBK" w:eastAsia="方正楷体_GBK" w:cs="方正楷体_GBK"/>
          <w:b/>
          <w:bCs/>
          <w:sz w:val="32"/>
          <w:szCs w:val="32"/>
          <w:lang w:val="en-US" w:eastAsia="zh-CN"/>
        </w:rPr>
      </w:pPr>
      <w:r>
        <w:rPr>
          <w:rFonts w:hint="eastAsia" w:ascii="方正仿宋_GBK" w:hAnsi="方正仿宋_GBK" w:eastAsia="方正仿宋_GBK" w:cs="方正仿宋_GBK"/>
          <w:kern w:val="2"/>
          <w:sz w:val="32"/>
          <w:szCs w:val="32"/>
          <w:lang w:val="en-US" w:eastAsia="zh-CN" w:bidi="ar-SA"/>
        </w:rPr>
        <w:t>成立项目领导小组，由各地区相关部门领导组成，负责项目统筹协调。实施流程包括项目申报、立项审批、规划设计、招投标、项目建设、竣工验收等环节，各环节严格按规定程序执行。</w:t>
      </w:r>
    </w:p>
    <w:p>
      <w:pPr>
        <w:keepNext w:val="0"/>
        <w:keepLines w:val="0"/>
        <w:pageBreakBefore w:val="0"/>
        <w:widowControl w:val="0"/>
        <w:numPr>
          <w:ilvl w:val="0"/>
          <w:numId w:val="0"/>
        </w:numPr>
        <w:kinsoku/>
        <w:wordWrap/>
        <w:overflowPunct/>
        <w:topLinePunct w:val="0"/>
        <w:bidi w:val="0"/>
        <w:adjustRightInd/>
        <w:snapToGrid/>
        <w:spacing w:line="240" w:lineRule="auto"/>
        <w:ind w:firstLine="642" w:firstLineChars="200"/>
        <w:jc w:val="both"/>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（二）项目管理情况</w:t>
      </w:r>
    </w:p>
    <w:p>
      <w:pPr>
        <w:keepNext w:val="0"/>
        <w:keepLines w:val="0"/>
        <w:pageBreakBefore w:val="0"/>
        <w:widowControl w:val="0"/>
        <w:kinsoku/>
        <w:wordWrap/>
        <w:overflowPunct/>
        <w:topLinePunct w:val="0"/>
        <w:bidi w:val="0"/>
        <w:adjustRightInd/>
        <w:snapToGrid/>
        <w:spacing w:line="240" w:lineRule="auto"/>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各项目实施单位严格执行相关法律法规及项目管理制度。在招投标环节，遵循公平、公正、公开原则，选择具有相应资质与经验的施工单位与供应商；在项目实施过程中，加强质量控制与安全管理，定期进行项目进度检查与质量监督。</w:t>
      </w:r>
    </w:p>
    <w:p>
      <w:pPr>
        <w:keepNext w:val="0"/>
        <w:keepLines w:val="0"/>
        <w:pageBreakBefore w:val="0"/>
        <w:widowControl w:val="0"/>
        <w:numPr>
          <w:ilvl w:val="0"/>
          <w:numId w:val="0"/>
        </w:numPr>
        <w:kinsoku/>
        <w:wordWrap/>
        <w:overflowPunct/>
        <w:topLinePunct w:val="0"/>
        <w:bidi w:val="0"/>
        <w:adjustRightInd/>
        <w:snapToGrid/>
        <w:spacing w:line="240" w:lineRule="auto"/>
        <w:ind w:firstLine="642" w:firstLineChars="200"/>
        <w:jc w:val="both"/>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（三）项目监管情况</w:t>
      </w:r>
    </w:p>
    <w:p>
      <w:pPr>
        <w:keepNext w:val="0"/>
        <w:keepLines w:val="0"/>
        <w:pageBreakBefore w:val="0"/>
        <w:widowControl w:val="0"/>
        <w:kinsoku/>
        <w:wordWrap/>
        <w:overflowPunct/>
        <w:topLinePunct w:val="0"/>
        <w:autoSpaceDE w:val="0"/>
        <w:autoSpaceDN w:val="0"/>
        <w:bidi w:val="0"/>
        <w:adjustRightInd/>
        <w:snapToGrid/>
        <w:spacing w:line="240" w:lineRule="auto"/>
        <w:ind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项目主管部门通过定期检查、不定期抽查、建立项目进度报告制度等手段加强监管。要求项目实施单位定期报送项目进度、资金使用、质量安全等情况，对发现的问题及时督促整改，确保项目顺利实施。</w:t>
      </w:r>
    </w:p>
    <w:p>
      <w:pPr>
        <w:keepNext w:val="0"/>
        <w:keepLines w:val="0"/>
        <w:pageBreakBefore w:val="0"/>
        <w:widowControl w:val="0"/>
        <w:numPr>
          <w:ilvl w:val="0"/>
          <w:numId w:val="0"/>
        </w:numPr>
        <w:kinsoku/>
        <w:wordWrap/>
        <w:overflowPunct/>
        <w:topLinePunct w:val="0"/>
        <w:bidi w:val="0"/>
        <w:adjustRightInd/>
        <w:snapToGrid/>
        <w:spacing w:line="240" w:lineRule="auto"/>
        <w:ind w:firstLine="640" w:firstLineChars="200"/>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四、项目绩效情况</w:t>
      </w:r>
    </w:p>
    <w:p>
      <w:pPr>
        <w:keepNext w:val="0"/>
        <w:keepLines w:val="0"/>
        <w:pageBreakBefore w:val="0"/>
        <w:widowControl w:val="0"/>
        <w:numPr>
          <w:ilvl w:val="0"/>
          <w:numId w:val="0"/>
        </w:numPr>
        <w:kinsoku/>
        <w:wordWrap/>
        <w:overflowPunct/>
        <w:topLinePunct w:val="0"/>
        <w:bidi w:val="0"/>
        <w:adjustRightInd/>
        <w:snapToGrid/>
        <w:spacing w:line="240" w:lineRule="auto"/>
        <w:ind w:firstLine="642" w:firstLineChars="200"/>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（一）项目完成情况</w:t>
      </w:r>
    </w:p>
    <w:p>
      <w:pPr>
        <w:keepNext w:val="0"/>
        <w:keepLines w:val="0"/>
        <w:pageBreakBefore w:val="0"/>
        <w:widowControl w:val="0"/>
        <w:kinsoku/>
        <w:wordWrap/>
        <w:overflowPunct/>
        <w:topLinePunct w:val="0"/>
        <w:autoSpaceDE w:val="0"/>
        <w:autoSpaceDN w:val="0"/>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kern w:val="2"/>
          <w:sz w:val="32"/>
          <w:szCs w:val="32"/>
          <w:highlight w:val="none"/>
          <w:lang w:val="en-US" w:eastAsia="zh-CN" w:bidi="ar-SA"/>
        </w:rPr>
        <w:t>截至目前各项目均在建，无项目完成数量、质量、时效、成本等情况，无违规记录。</w:t>
      </w:r>
    </w:p>
    <w:p>
      <w:pPr>
        <w:pStyle w:val="9"/>
        <w:keepNext w:val="0"/>
        <w:keepLines w:val="0"/>
        <w:pageBreakBefore w:val="0"/>
        <w:widowControl w:val="0"/>
        <w:kinsoku/>
        <w:wordWrap/>
        <w:overflowPunct/>
        <w:topLinePunct w:val="0"/>
        <w:bidi w:val="0"/>
        <w:adjustRightInd/>
        <w:snapToGrid/>
        <w:spacing w:line="240" w:lineRule="auto"/>
        <w:ind w:firstLine="642"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b/>
          <w:bCs/>
          <w:kern w:val="2"/>
          <w:sz w:val="32"/>
          <w:szCs w:val="32"/>
          <w:lang w:val="en-US" w:eastAsia="zh-CN" w:bidi="ar-SA"/>
        </w:rPr>
        <w:t>（二）项目效益情况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color w:val="000000"/>
          <w:kern w:val="2"/>
          <w:sz w:val="32"/>
          <w:szCs w:val="32"/>
          <w:highlight w:val="none"/>
          <w:lang w:val="en-US" w:eastAsia="zh-CN" w:bidi="ar-SA"/>
        </w:rPr>
      </w:pPr>
      <w:r>
        <w:rPr>
          <w:rFonts w:hint="eastAsia" w:ascii="方正仿宋_GBK" w:hAnsi="方正仿宋_GBK" w:eastAsia="方正仿宋_GBK" w:cs="方正仿宋_GBK"/>
          <w:color w:val="000000"/>
          <w:kern w:val="2"/>
          <w:sz w:val="32"/>
          <w:szCs w:val="32"/>
          <w:highlight w:val="none"/>
          <w:lang w:val="en-US" w:eastAsia="zh-CN" w:bidi="ar-SA"/>
        </w:rPr>
        <w:t>因项目尚未完工，暂未产生经济效益、社会效益、生态效益、可持续效益。但从项目规划预期来看，民族团结进步示范村建设将改善村民生活条件，促进产业发展，增加村民收入；示范学校建设将提升民族文化教育水平，培养学生民族团结意识，促进民族文化传承与发展。</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640" w:firstLineChars="200"/>
        <w:jc w:val="both"/>
        <w:textAlignment w:val="auto"/>
        <w:outlineLvl w:val="9"/>
        <w:rPr>
          <w:rFonts w:hint="eastAsia" w:ascii="方正黑体_GBK" w:hAnsi="方正黑体_GBK" w:eastAsia="方正黑体_GBK" w:cs="方正黑体_GBK"/>
          <w:caps w:val="0"/>
          <w:color w:val="auto"/>
          <w:sz w:val="32"/>
          <w:szCs w:val="32"/>
          <w:vertAlign w:val="baseline"/>
        </w:rPr>
      </w:pPr>
      <w:r>
        <w:rPr>
          <w:rFonts w:hint="eastAsia" w:ascii="方正黑体_GBK" w:hAnsi="方正黑体_GBK" w:eastAsia="方正黑体_GBK" w:cs="方正黑体_GBK"/>
          <w:b w:val="0"/>
          <w:bCs w:val="0"/>
          <w:caps w:val="0"/>
          <w:color w:val="auto"/>
          <w:kern w:val="2"/>
          <w:sz w:val="32"/>
          <w:szCs w:val="32"/>
          <w:vertAlign w:val="baseline"/>
          <w:lang w:val="en-US" w:eastAsia="zh-CN" w:bidi="ar"/>
        </w:rPr>
        <w:t>五、评价结论及建议</w:t>
      </w:r>
    </w:p>
    <w:p>
      <w:pPr>
        <w:pStyle w:val="9"/>
        <w:keepNext w:val="0"/>
        <w:keepLines w:val="0"/>
        <w:pageBreakBefore w:val="0"/>
        <w:widowControl w:val="0"/>
        <w:kinsoku/>
        <w:wordWrap/>
        <w:overflowPunct/>
        <w:topLinePunct w:val="0"/>
        <w:bidi w:val="0"/>
        <w:adjustRightInd/>
        <w:snapToGrid/>
        <w:spacing w:line="240" w:lineRule="auto"/>
        <w:ind w:firstLine="642"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（一）评价结论</w:t>
      </w:r>
    </w:p>
    <w:p>
      <w:pPr>
        <w:pStyle w:val="9"/>
        <w:keepNext w:val="0"/>
        <w:keepLines w:val="0"/>
        <w:pageBreakBefore w:val="0"/>
        <w:widowControl w:val="0"/>
        <w:kinsoku/>
        <w:wordWrap/>
        <w:overflowPunct/>
        <w:topLinePunct w:val="0"/>
        <w:bidi w:val="0"/>
        <w:adjustRightInd/>
        <w:snapToGrid/>
        <w:spacing w:line="240" w:lineRule="auto"/>
        <w:ind w:firstLine="640" w:firstLineChars="200"/>
        <w:textAlignment w:val="auto"/>
        <w:rPr>
          <w:rFonts w:eastAsia="方正仿宋简体"/>
          <w:sz w:val="32"/>
          <w:szCs w:val="32"/>
        </w:rPr>
      </w:pPr>
      <w:r>
        <w:rPr>
          <w:rFonts w:hint="eastAsia" w:eastAsia="方正仿宋简体"/>
          <w:sz w:val="32"/>
          <w:szCs w:val="32"/>
          <w:lang w:eastAsia="zh-CN"/>
        </w:rPr>
        <w:t>项目的开展</w:t>
      </w:r>
      <w:r>
        <w:rPr>
          <w:rFonts w:hint="eastAsia" w:eastAsia="方正仿宋简体"/>
          <w:sz w:val="32"/>
          <w:szCs w:val="32"/>
        </w:rPr>
        <w:t>促进</w:t>
      </w:r>
      <w:r>
        <w:rPr>
          <w:rFonts w:hint="eastAsia" w:eastAsia="方正仿宋简体"/>
          <w:sz w:val="32"/>
          <w:szCs w:val="32"/>
          <w:lang w:eastAsia="zh-CN"/>
        </w:rPr>
        <w:t>了</w:t>
      </w:r>
      <w:r>
        <w:rPr>
          <w:rFonts w:hint="eastAsia" w:eastAsia="方正仿宋简体"/>
          <w:sz w:val="32"/>
          <w:szCs w:val="32"/>
        </w:rPr>
        <w:t>各民族交往交流交融，带动旅游及相关产业发展，增加居民收入，铸牢了中华民族共同体意识。整体而言，项目达成了预期绩效目标，对推动地区发展和民族团结意义重大。</w:t>
      </w:r>
    </w:p>
    <w:p>
      <w:pPr>
        <w:pStyle w:val="9"/>
        <w:keepNext w:val="0"/>
        <w:keepLines w:val="0"/>
        <w:pageBreakBefore w:val="0"/>
        <w:widowControl w:val="0"/>
        <w:kinsoku/>
        <w:wordWrap/>
        <w:overflowPunct/>
        <w:topLinePunct w:val="0"/>
        <w:bidi w:val="0"/>
        <w:adjustRightInd/>
        <w:snapToGrid/>
        <w:spacing w:line="240" w:lineRule="auto"/>
        <w:ind w:firstLine="642"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（二）存在问题</w:t>
      </w:r>
    </w:p>
    <w:p>
      <w:pPr>
        <w:pStyle w:val="9"/>
        <w:keepNext w:val="0"/>
        <w:keepLines w:val="0"/>
        <w:pageBreakBefore w:val="0"/>
        <w:widowControl w:val="0"/>
        <w:kinsoku/>
        <w:wordWrap/>
        <w:overflowPunct/>
        <w:topLinePunct w:val="0"/>
        <w:bidi w:val="0"/>
        <w:adjustRightInd/>
        <w:snapToGrid/>
        <w:spacing w:line="240" w:lineRule="auto"/>
        <w:ind w:firstLine="640" w:firstLineChars="200"/>
        <w:textAlignment w:val="auto"/>
        <w:rPr>
          <w:rFonts w:eastAsia="方正仿宋简体"/>
          <w:sz w:val="32"/>
          <w:szCs w:val="32"/>
        </w:rPr>
      </w:pPr>
      <w:r>
        <w:rPr>
          <w:rFonts w:hint="eastAsia" w:eastAsia="方正仿宋简体"/>
          <w:sz w:val="32"/>
          <w:szCs w:val="32"/>
          <w:lang w:eastAsia="zh-CN"/>
        </w:rPr>
        <w:t>暂未发现</w:t>
      </w:r>
      <w:r>
        <w:rPr>
          <w:rFonts w:hint="eastAsia" w:eastAsia="方正仿宋简体"/>
          <w:sz w:val="32"/>
          <w:szCs w:val="32"/>
        </w:rPr>
        <w:t>。</w:t>
      </w:r>
    </w:p>
    <w:p>
      <w:pPr>
        <w:pStyle w:val="9"/>
        <w:keepNext w:val="0"/>
        <w:keepLines w:val="0"/>
        <w:pageBreakBefore w:val="0"/>
        <w:widowControl w:val="0"/>
        <w:kinsoku/>
        <w:wordWrap/>
        <w:overflowPunct/>
        <w:topLinePunct w:val="0"/>
        <w:bidi w:val="0"/>
        <w:adjustRightInd/>
        <w:snapToGrid/>
        <w:spacing w:line="240" w:lineRule="auto"/>
        <w:ind w:firstLine="642"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（三）改进措施</w:t>
      </w:r>
    </w:p>
    <w:p>
      <w:pPr>
        <w:pStyle w:val="3"/>
        <w:keepNext w:val="0"/>
        <w:keepLines w:val="0"/>
        <w:pageBreakBefore w:val="0"/>
        <w:widowControl w:val="0"/>
        <w:kinsoku/>
        <w:wordWrap/>
        <w:overflowPunct/>
        <w:topLinePunct w:val="0"/>
        <w:bidi w:val="0"/>
        <w:adjustRightInd/>
        <w:snapToGrid/>
        <w:ind w:left="420" w:firstLine="640"/>
        <w:textAlignment w:val="auto"/>
        <w:rPr>
          <w:rFonts w:hint="eastAsia" w:eastAsia="方正仿宋简体"/>
          <w:sz w:val="32"/>
          <w:szCs w:val="32"/>
        </w:rPr>
      </w:pPr>
      <w:r>
        <w:rPr>
          <w:rFonts w:hint="eastAsia" w:eastAsia="方正仿宋简体"/>
          <w:sz w:val="32"/>
          <w:szCs w:val="32"/>
        </w:rPr>
        <w:t>简化资金审批流程，提高资金拨付效率，确保项目能按计划顺利实施；加强财政资金统筹协调，保障民族地区开发资金及时足额到位；建立项目进度跟踪与反馈机制，及时解决项目实施过程中出现的问题。</w:t>
      </w:r>
    </w:p>
    <w:p>
      <w:pPr>
        <w:pStyle w:val="3"/>
        <w:keepNext w:val="0"/>
        <w:keepLines w:val="0"/>
        <w:pageBreakBefore w:val="0"/>
        <w:widowControl w:val="0"/>
        <w:kinsoku/>
        <w:wordWrap/>
        <w:overflowPunct/>
        <w:topLinePunct w:val="0"/>
        <w:bidi w:val="0"/>
        <w:adjustRightInd/>
        <w:snapToGrid/>
        <w:ind w:left="420" w:firstLine="640"/>
        <w:textAlignment w:val="auto"/>
        <w:rPr>
          <w:rFonts w:hint="eastAsia" w:eastAsia="方正仿宋简体"/>
          <w:sz w:val="32"/>
          <w:szCs w:val="32"/>
        </w:rPr>
      </w:pPr>
    </w:p>
    <w:p>
      <w:pPr>
        <w:pStyle w:val="3"/>
        <w:keepNext w:val="0"/>
        <w:keepLines w:val="0"/>
        <w:pageBreakBefore w:val="0"/>
        <w:widowControl w:val="0"/>
        <w:kinsoku/>
        <w:wordWrap/>
        <w:overflowPunct/>
        <w:topLinePunct w:val="0"/>
        <w:bidi w:val="0"/>
        <w:adjustRightInd/>
        <w:snapToGrid/>
        <w:ind w:left="420" w:firstLine="640"/>
        <w:textAlignment w:val="auto"/>
        <w:rPr>
          <w:rFonts w:hint="eastAsia" w:eastAsia="方正仿宋简体"/>
          <w:sz w:val="32"/>
          <w:szCs w:val="32"/>
        </w:rPr>
      </w:pPr>
    </w:p>
    <w:p>
      <w:pPr>
        <w:pStyle w:val="3"/>
        <w:keepNext w:val="0"/>
        <w:keepLines w:val="0"/>
        <w:pageBreakBefore w:val="0"/>
        <w:widowControl w:val="0"/>
        <w:kinsoku/>
        <w:wordWrap/>
        <w:overflowPunct/>
        <w:topLinePunct w:val="0"/>
        <w:bidi w:val="0"/>
        <w:adjustRightInd/>
        <w:snapToGrid/>
        <w:ind w:left="420" w:firstLine="640"/>
        <w:textAlignment w:val="auto"/>
        <w:rPr>
          <w:rFonts w:hint="eastAsia" w:eastAsia="方正仿宋简体"/>
          <w:sz w:val="32"/>
          <w:szCs w:val="32"/>
        </w:rPr>
      </w:pPr>
    </w:p>
    <w:p>
      <w:pPr>
        <w:pStyle w:val="3"/>
        <w:keepNext w:val="0"/>
        <w:keepLines w:val="0"/>
        <w:pageBreakBefore w:val="0"/>
        <w:widowControl w:val="0"/>
        <w:kinsoku/>
        <w:wordWrap/>
        <w:overflowPunct/>
        <w:topLinePunct w:val="0"/>
        <w:bidi w:val="0"/>
        <w:adjustRightInd/>
        <w:snapToGrid/>
        <w:ind w:left="420" w:firstLine="640"/>
        <w:textAlignment w:val="auto"/>
        <w:rPr>
          <w:rFonts w:hint="eastAsia" w:eastAsia="方正仿宋简体"/>
          <w:sz w:val="32"/>
          <w:szCs w:val="32"/>
        </w:rPr>
      </w:pPr>
    </w:p>
    <w:p>
      <w:pPr>
        <w:keepNext w:val="0"/>
        <w:keepLines w:val="0"/>
        <w:pageBreakBefore w:val="0"/>
        <w:widowControl/>
        <w:kinsoku/>
        <w:wordWrap/>
        <w:overflowPunct/>
        <w:topLinePunct w:val="0"/>
        <w:autoSpaceDE/>
        <w:autoSpaceDN/>
        <w:bidi w:val="0"/>
        <w:adjustRightInd w:val="0"/>
        <w:snapToGrid w:val="0"/>
        <w:spacing w:line="0" w:lineRule="atLeast"/>
        <w:jc w:val="center"/>
        <w:textAlignment w:val="auto"/>
        <w:rPr>
          <w:rFonts w:hint="eastAsia" w:ascii="方正小标宋_GBK" w:hAnsi="方正小标宋_GBK" w:eastAsia="方正小标宋_GBK" w:cs="方正小标宋_GBK"/>
          <w:b/>
          <w:bCs/>
          <w:color w:val="000000"/>
          <w:spacing w:val="0"/>
          <w:kern w:val="0"/>
          <w:sz w:val="44"/>
          <w:szCs w:val="44"/>
          <w:lang w:val="zh-CN"/>
        </w:rPr>
      </w:pPr>
      <w:r>
        <w:rPr>
          <w:rFonts w:hint="default" w:ascii="Times New Roman" w:hAnsi="Times New Roman" w:eastAsia="方正小标宋_GBK" w:cs="Times New Roman"/>
          <w:b/>
          <w:bCs/>
          <w:color w:val="000000"/>
          <w:spacing w:val="0"/>
          <w:kern w:val="0"/>
          <w:sz w:val="44"/>
          <w:szCs w:val="44"/>
          <w:lang w:val="zh-CN"/>
        </w:rPr>
        <w:t>2024</w:t>
      </w:r>
      <w:r>
        <w:rPr>
          <w:rFonts w:hint="eastAsia" w:ascii="方正小标宋_GBK" w:hAnsi="方正小标宋_GBK" w:eastAsia="方正小标宋_GBK" w:cs="方正小标宋_GBK"/>
          <w:b/>
          <w:bCs/>
          <w:color w:val="000000"/>
          <w:spacing w:val="0"/>
          <w:kern w:val="0"/>
          <w:sz w:val="44"/>
          <w:szCs w:val="44"/>
          <w:lang w:val="zh-CN"/>
        </w:rPr>
        <w:t>年度市级少数民族发展资金</w:t>
      </w:r>
    </w:p>
    <w:p>
      <w:pPr>
        <w:keepNext w:val="0"/>
        <w:keepLines w:val="0"/>
        <w:pageBreakBefore w:val="0"/>
        <w:widowControl/>
        <w:kinsoku/>
        <w:wordWrap/>
        <w:overflowPunct/>
        <w:topLinePunct w:val="0"/>
        <w:autoSpaceDE/>
        <w:autoSpaceDN/>
        <w:bidi w:val="0"/>
        <w:adjustRightInd w:val="0"/>
        <w:snapToGrid w:val="0"/>
        <w:spacing w:line="0" w:lineRule="atLeast"/>
        <w:jc w:val="center"/>
        <w:textAlignment w:val="auto"/>
        <w:rPr>
          <w:rFonts w:hint="eastAsia" w:ascii="方正小标宋_GBK" w:hAnsi="方正小标宋_GBK" w:eastAsia="方正小标宋_GBK" w:cs="方正小标宋_GBK"/>
          <w:b/>
          <w:bCs/>
          <w:color w:val="000000"/>
          <w:spacing w:val="0"/>
          <w:kern w:val="0"/>
          <w:sz w:val="44"/>
          <w:szCs w:val="44"/>
          <w:lang w:val="zh-CN"/>
        </w:rPr>
      </w:pPr>
      <w:r>
        <w:rPr>
          <w:rFonts w:hint="eastAsia" w:ascii="方正小标宋_GBK" w:hAnsi="方正小标宋_GBK" w:eastAsia="方正小标宋_GBK" w:cs="方正小标宋_GBK"/>
          <w:b/>
          <w:bCs/>
          <w:color w:val="000000"/>
          <w:spacing w:val="0"/>
          <w:kern w:val="0"/>
          <w:sz w:val="44"/>
          <w:szCs w:val="44"/>
          <w:lang w:val="zh-CN"/>
        </w:rPr>
        <w:t>专项预算项目支出绩效自评报告</w:t>
      </w:r>
    </w:p>
    <w:p>
      <w:pPr>
        <w:pStyle w:val="30"/>
        <w:numPr>
          <w:ilvl w:val="0"/>
          <w:numId w:val="0"/>
        </w:numPr>
        <w:adjustRightInd w:val="0"/>
        <w:snapToGrid w:val="0"/>
        <w:spacing w:line="600" w:lineRule="exact"/>
        <w:ind w:left="720" w:leftChars="0"/>
        <w:rPr>
          <w:rFonts w:hint="eastAsia" w:ascii="Times New Roman" w:eastAsia="黑体" w:cs="Times New Roman"/>
          <w:sz w:val="32"/>
          <w:szCs w:val="32"/>
          <w:lang w:eastAsia="zh-CN"/>
        </w:rPr>
      </w:pPr>
    </w:p>
    <w:p>
      <w:pPr>
        <w:pStyle w:val="30"/>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720" w:leftChars="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一、</w:t>
      </w:r>
      <w:r>
        <w:rPr>
          <w:rFonts w:hint="eastAsia" w:ascii="方正黑体_GBK" w:hAnsi="方正黑体_GBK" w:eastAsia="方正黑体_GBK" w:cs="方正黑体_GBK"/>
          <w:sz w:val="32"/>
          <w:szCs w:val="32"/>
        </w:rPr>
        <w:t>项目概况</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方正楷体_GBK" w:hAnsi="方正楷体_GBK" w:eastAsia="方正楷体_GBK" w:cs="方正楷体_GBK"/>
          <w:b/>
          <w:sz w:val="32"/>
          <w:szCs w:val="32"/>
          <w:lang w:val="zh-CN"/>
        </w:rPr>
      </w:pPr>
      <w:r>
        <w:rPr>
          <w:rFonts w:hint="eastAsia" w:ascii="方正楷体_GBK" w:hAnsi="方正楷体_GBK" w:eastAsia="方正楷体_GBK" w:cs="方正楷体_GBK"/>
          <w:b/>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方正仿宋_GBK" w:hAnsi="方正仿宋_GBK" w:eastAsia="方正仿宋_GBK" w:cs="方正仿宋_GBK"/>
          <w:sz w:val="32"/>
          <w:szCs w:val="32"/>
          <w:lang w:val="zh-CN"/>
        </w:rPr>
      </w:pPr>
      <w:r>
        <w:rPr>
          <w:rFonts w:hint="default" w:ascii="Times New Roman" w:hAnsi="Times New Roman" w:eastAsia="方正仿宋_GBK" w:cs="Times New Roman"/>
          <w:b/>
          <w:sz w:val="32"/>
          <w:szCs w:val="32"/>
          <w:lang w:val="zh-CN"/>
        </w:rPr>
        <w:t>1.</w:t>
      </w:r>
      <w:r>
        <w:rPr>
          <w:rFonts w:hint="eastAsia" w:ascii="方正仿宋_GBK" w:hAnsi="方正仿宋_GBK" w:eastAsia="方正仿宋_GBK" w:cs="方正仿宋_GBK"/>
          <w:b/>
          <w:sz w:val="32"/>
          <w:szCs w:val="32"/>
          <w:lang w:val="zh-CN"/>
        </w:rPr>
        <w:t>项目主管部门职能：</w:t>
      </w:r>
      <w:r>
        <w:rPr>
          <w:rFonts w:hint="eastAsia" w:ascii="方正仿宋_GBK" w:hAnsi="方正仿宋_GBK" w:eastAsia="方正仿宋_GBK" w:cs="方正仿宋_GBK"/>
          <w:sz w:val="32"/>
          <w:szCs w:val="32"/>
          <w:lang w:val="zh-CN"/>
        </w:rPr>
        <w:t>市民族宗教委作为项目主管部门，负责统筹规划全市少数民族发展资金项目，制定年度项目计划与资金分配方案。在项目管理中，承担政策指导、项目审核、监督检查和绩效评价等工作，协调解决项目实施过程中的问题，确保项目符合国家民族政策和地方发展需求，推动少数民族地区经济社会全面发展。</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方正仿宋_GBK" w:hAnsi="方正仿宋_GBK" w:eastAsia="方正仿宋_GBK" w:cs="方正仿宋_GBK"/>
          <w:sz w:val="32"/>
          <w:szCs w:val="32"/>
          <w:lang w:val="zh-CN"/>
        </w:rPr>
      </w:pPr>
      <w:r>
        <w:rPr>
          <w:rFonts w:hint="eastAsia" w:ascii="Times New Roman" w:hAnsi="Times New Roman" w:eastAsia="方正仿宋_GBK" w:cs="Times New Roman"/>
          <w:b/>
          <w:sz w:val="32"/>
          <w:szCs w:val="32"/>
          <w:lang w:val="zh-CN"/>
        </w:rPr>
        <w:t>2.项</w:t>
      </w:r>
      <w:r>
        <w:rPr>
          <w:rFonts w:hint="eastAsia" w:ascii="方正仿宋_GBK" w:hAnsi="方正仿宋_GBK" w:eastAsia="方正仿宋_GBK" w:cs="方正仿宋_GBK"/>
          <w:b/>
          <w:sz w:val="32"/>
          <w:szCs w:val="32"/>
          <w:lang w:val="zh-CN"/>
        </w:rPr>
        <w:t>目立项、资金申报依据：</w:t>
      </w:r>
      <w:r>
        <w:rPr>
          <w:rFonts w:hint="eastAsia" w:ascii="方正仿宋_GBK" w:hAnsi="方正仿宋_GBK" w:eastAsia="方正仿宋_GBK" w:cs="方正仿宋_GBK"/>
          <w:sz w:val="32"/>
          <w:szCs w:val="32"/>
          <w:lang w:val="zh-CN"/>
        </w:rPr>
        <w:t>项目立项依据《中华人民共和国民族区域自治法》《国务院实施&lt;中华人民共和国民族区域自治法&gt;若干规定》等国家法律法规，以及《攀枝花市市级少数民族发展资金管理办法》等地方政策文件。资金申报以各县（区）、相关单位的少数民族发展需求为基础，围绕民族地区产业发展、基础设施建设、民族文化传承、民族团结进步创建等重点领域，按照年度申报通知要求进行申报。</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方正仿宋_GBK" w:hAnsi="方正仿宋_GBK" w:eastAsia="方正仿宋_GBK" w:cs="方正仿宋_GBK"/>
          <w:sz w:val="32"/>
          <w:szCs w:val="32"/>
          <w:lang w:val="zh-CN"/>
        </w:rPr>
      </w:pPr>
      <w:r>
        <w:rPr>
          <w:rFonts w:hint="eastAsia" w:ascii="Times New Roman" w:hAnsi="Times New Roman" w:eastAsia="方正仿宋_GBK" w:cs="Times New Roman"/>
          <w:b/>
          <w:sz w:val="32"/>
          <w:szCs w:val="32"/>
          <w:lang w:val="zh-CN"/>
        </w:rPr>
        <w:t>3.资</w:t>
      </w:r>
      <w:r>
        <w:rPr>
          <w:rFonts w:hint="eastAsia" w:ascii="方正仿宋_GBK" w:hAnsi="方正仿宋_GBK" w:eastAsia="方正仿宋_GBK" w:cs="方正仿宋_GBK"/>
          <w:b/>
          <w:sz w:val="32"/>
          <w:szCs w:val="32"/>
          <w:lang w:val="zh-CN"/>
        </w:rPr>
        <w:t>金管理办法制定情况：</w:t>
      </w:r>
      <w:r>
        <w:rPr>
          <w:rFonts w:hint="eastAsia" w:ascii="方正仿宋_GBK" w:hAnsi="方正仿宋_GBK" w:eastAsia="方正仿宋_GBK" w:cs="方正仿宋_GBK"/>
          <w:sz w:val="32"/>
          <w:szCs w:val="32"/>
          <w:lang w:val="zh-CN"/>
        </w:rPr>
        <w:t>制定《攀枝花市市级少数民族发展资金管理办法》，明确资金支持条件为符合民族地区发展规划、具有显著社会效益或经济效益、具备实施可行性的项目；支持范围包括民族特色产业发展、民族文化保护与传承、民族团结进步创建、民族地区基础设施改善等；支持方式主要为财政直接补助，对部分绩效显著的项目可采取以奖代补形式。</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ascii="Times New Roman" w:hAnsi="Times New Roman" w:eastAsia="仿宋_GB2312" w:cs="Times New Roman"/>
          <w:sz w:val="32"/>
          <w:szCs w:val="32"/>
          <w:lang w:val="zh-CN"/>
        </w:rPr>
      </w:pPr>
      <w:r>
        <w:rPr>
          <w:rFonts w:hint="eastAsia" w:ascii="Times New Roman" w:hAnsi="Times New Roman" w:eastAsia="方正仿宋_GBK" w:cs="Times New Roman"/>
          <w:b/>
          <w:sz w:val="32"/>
          <w:szCs w:val="32"/>
          <w:lang w:val="zh-CN"/>
        </w:rPr>
        <w:t>4.资金</w:t>
      </w:r>
      <w:r>
        <w:rPr>
          <w:rFonts w:hint="eastAsia" w:ascii="方正仿宋_GBK" w:hAnsi="方正仿宋_GBK" w:eastAsia="方正仿宋_GBK" w:cs="方正仿宋_GBK"/>
          <w:b/>
          <w:sz w:val="32"/>
          <w:szCs w:val="32"/>
          <w:lang w:val="zh-CN"/>
        </w:rPr>
        <w:t>分配原则及考虑因素：</w:t>
      </w:r>
      <w:r>
        <w:rPr>
          <w:rFonts w:hint="eastAsia" w:ascii="方正仿宋_GBK" w:hAnsi="方正仿宋_GBK" w:eastAsia="方正仿宋_GBK" w:cs="方正仿宋_GBK"/>
          <w:sz w:val="32"/>
          <w:szCs w:val="32"/>
          <w:lang w:val="zh-CN"/>
        </w:rPr>
        <w:t>资金分配遵循“突出重点、统筹兼顾、公平公正、注重绩效”原则。主要考虑因素包括各县（区）少数民族人口数量及比例、民族地区经济社会发展水平、项目申报质量与可行性、以往项目实施绩效等，确保资金向最急需、最能产生效益的项目倾斜。</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方正楷体_GBK" w:hAnsi="方正楷体_GBK" w:eastAsia="方正楷体_GBK" w:cs="方正楷体_GBK"/>
          <w:b/>
          <w:sz w:val="32"/>
          <w:szCs w:val="32"/>
          <w:lang w:val="zh-CN"/>
        </w:rPr>
      </w:pPr>
      <w:r>
        <w:rPr>
          <w:rFonts w:hint="eastAsia" w:ascii="方正楷体_GBK" w:hAnsi="方正楷体_GBK" w:eastAsia="方正楷体_GBK" w:cs="方正楷体_GBK"/>
          <w:b/>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方正仿宋_GBK" w:hAnsi="方正仿宋_GBK" w:eastAsia="方正仿宋_GBK" w:cs="方正仿宋_GBK"/>
          <w:sz w:val="32"/>
          <w:szCs w:val="32"/>
          <w:lang w:val="zh-CN"/>
        </w:rPr>
      </w:pPr>
      <w:r>
        <w:rPr>
          <w:rFonts w:hint="default" w:ascii="Times New Roman" w:hAnsi="Times New Roman" w:eastAsia="方正仿宋_GBK" w:cs="Times New Roman"/>
          <w:b/>
          <w:sz w:val="32"/>
          <w:szCs w:val="32"/>
          <w:lang w:val="zh-CN"/>
        </w:rPr>
        <w:t>1.</w:t>
      </w:r>
      <w:r>
        <w:rPr>
          <w:rFonts w:hint="eastAsia" w:ascii="方正仿宋_GBK" w:hAnsi="方正仿宋_GBK" w:eastAsia="方正仿宋_GBK" w:cs="方正仿宋_GBK"/>
          <w:b/>
          <w:sz w:val="32"/>
          <w:szCs w:val="32"/>
          <w:lang w:val="zh-CN"/>
        </w:rPr>
        <w:t>项目主要内容：</w:t>
      </w:r>
      <w:r>
        <w:rPr>
          <w:rFonts w:hint="default" w:ascii="Times New Roman" w:hAnsi="Times New Roman" w:eastAsia="方正仿宋_GBK" w:cs="Times New Roman"/>
          <w:sz w:val="32"/>
          <w:szCs w:val="32"/>
          <w:lang w:val="zh-CN"/>
        </w:rPr>
        <w:t>2024</w:t>
      </w:r>
      <w:r>
        <w:rPr>
          <w:rFonts w:hint="eastAsia" w:ascii="方正仿宋_GBK" w:hAnsi="方正仿宋_GBK" w:eastAsia="方正仿宋_GBK" w:cs="方正仿宋_GBK"/>
          <w:sz w:val="32"/>
          <w:szCs w:val="32"/>
          <w:lang w:val="zh-CN"/>
        </w:rPr>
        <w:t>年度市级少数民族发展资金项目涵盖多个领域，包括民族宗教工作领域综合管理（如市民族宗教委的宣教、维稳、服务中心运行等）、民族地区产业发展（如市农林科学院种羊繁育养殖试点建设项目技术服务）、民族文化传承与发展（如各县区民族节日活动补助、民族特色文化项目建设）、民族团结进步创建（如仁和区相关创建项目）以及民族地区基础设施改善（如米易县殡葬设施改造、仁和区水利设施建设等）。</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Times New Roman" w:hAnsi="Times New Roman" w:eastAsia="方正仿宋_GBK" w:cs="Times New Roman"/>
          <w:b/>
          <w:bCs/>
          <w:sz w:val="32"/>
          <w:szCs w:val="32"/>
          <w:lang w:val="zh-CN"/>
        </w:rPr>
      </w:pPr>
      <w:r>
        <w:rPr>
          <w:rFonts w:hint="eastAsia" w:ascii="Times New Roman" w:hAnsi="Times New Roman" w:eastAsia="方正仿宋_GBK" w:cs="Times New Roman"/>
          <w:b/>
          <w:bCs/>
          <w:sz w:val="32"/>
          <w:szCs w:val="32"/>
          <w:lang w:val="zh-CN"/>
        </w:rPr>
        <w:t>2.具体绩效目标</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Times New Roman" w:hAnsi="Times New Roman" w:eastAsia="方正仿宋_GBK" w:cs="Times New Roman"/>
          <w:sz w:val="32"/>
          <w:szCs w:val="32"/>
          <w:lang w:val="zh-CN"/>
        </w:rPr>
      </w:pPr>
      <w:r>
        <w:rPr>
          <w:rFonts w:hint="eastAsia" w:ascii="Times New Roman" w:hAnsi="Times New Roman" w:eastAsia="方正仿宋_GBK" w:cs="Times New Roman"/>
          <w:b w:val="0"/>
          <w:bCs w:val="0"/>
          <w:sz w:val="32"/>
          <w:szCs w:val="32"/>
          <w:lang w:val="zh-CN"/>
        </w:rPr>
        <w:t>（1）</w:t>
      </w:r>
      <w:r>
        <w:rPr>
          <w:rFonts w:hint="eastAsia" w:ascii="方正仿宋_GBK" w:hAnsi="方正仿宋_GBK" w:eastAsia="方正仿宋_GBK" w:cs="方正仿宋_GBK"/>
          <w:b w:val="0"/>
          <w:bCs w:val="0"/>
          <w:sz w:val="32"/>
          <w:szCs w:val="32"/>
          <w:lang w:val="zh-CN"/>
        </w:rPr>
        <w:t>量化、细化目标：</w:t>
      </w:r>
      <w:r>
        <w:rPr>
          <w:rFonts w:hint="eastAsia" w:ascii="方正仿宋_GBK" w:hAnsi="方正仿宋_GBK" w:eastAsia="方正仿宋_GBK" w:cs="方正仿宋_GBK"/>
          <w:sz w:val="32"/>
          <w:szCs w:val="32"/>
          <w:lang w:val="zh-CN"/>
        </w:rPr>
        <w:t>计划开展民族文化活动不少于</w:t>
      </w:r>
      <w:r>
        <w:rPr>
          <w:rFonts w:hint="default" w:ascii="Times New Roman" w:hAnsi="Times New Roman" w:eastAsia="方正仿宋_GBK" w:cs="Times New Roman"/>
          <w:sz w:val="32"/>
          <w:szCs w:val="32"/>
          <w:lang w:val="zh-CN"/>
        </w:rPr>
        <w:t>10</w:t>
      </w:r>
      <w:r>
        <w:rPr>
          <w:rFonts w:hint="eastAsia" w:ascii="方正仿宋_GBK" w:hAnsi="方正仿宋_GBK" w:eastAsia="方正仿宋_GBK" w:cs="方正仿宋_GBK"/>
          <w:sz w:val="32"/>
          <w:szCs w:val="32"/>
          <w:lang w:val="zh-CN"/>
        </w:rPr>
        <w:t>场，参与群</w:t>
      </w:r>
      <w:r>
        <w:rPr>
          <w:rFonts w:hint="eastAsia" w:ascii="Times New Roman" w:hAnsi="Times New Roman" w:eastAsia="方正仿宋_GBK" w:cs="Times New Roman"/>
          <w:sz w:val="32"/>
          <w:szCs w:val="32"/>
          <w:lang w:val="zh-CN"/>
        </w:rPr>
        <w:t>众达5000人次以上；扶持民族特色产业项目3—5个，带动少数民族群众就业200人以上，人均增收2000元；完成民族团结进步创建示范点建设5个；改善民族地区基础设施，受益群众达10000人以上。</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Times New Roman" w:hAnsi="Times New Roman" w:eastAsia="方正仿宋_GBK" w:cs="Times New Roman"/>
          <w:sz w:val="32"/>
          <w:szCs w:val="32"/>
          <w:lang w:val="zh-CN"/>
        </w:rPr>
      </w:pPr>
      <w:r>
        <w:rPr>
          <w:rFonts w:hint="eastAsia" w:ascii="Times New Roman" w:hAnsi="Times New Roman" w:eastAsia="方正仿宋_GBK" w:cs="Times New Roman"/>
          <w:sz w:val="32"/>
          <w:szCs w:val="32"/>
          <w:lang w:val="zh-CN"/>
        </w:rPr>
        <w:t>（2）项目实施进度计划：2024年完成项目申报与审核、启动项目实施；2025年开展项目中期检查与督导、完成项目验收与绩效评价。</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ascii="Times New Roman" w:hAnsi="Times New Roman" w:eastAsia="仿宋_GB2312" w:cs="Times New Roman"/>
          <w:sz w:val="32"/>
          <w:szCs w:val="32"/>
          <w:lang w:val="zh-CN"/>
        </w:rPr>
      </w:pPr>
      <w:r>
        <w:rPr>
          <w:rFonts w:hint="eastAsia" w:ascii="Times New Roman" w:hAnsi="Times New Roman" w:eastAsia="方正仿宋_GBK" w:cs="Times New Roman"/>
          <w:b/>
          <w:bCs/>
          <w:sz w:val="32"/>
          <w:szCs w:val="32"/>
          <w:lang w:val="zh-CN"/>
        </w:rPr>
        <w:t>3.</w:t>
      </w:r>
      <w:r>
        <w:rPr>
          <w:rFonts w:hint="eastAsia" w:ascii="方正仿宋_GBK" w:hAnsi="方正仿宋_GBK" w:eastAsia="方正仿宋_GBK" w:cs="方正仿宋_GBK"/>
          <w:b/>
          <w:sz w:val="32"/>
          <w:szCs w:val="32"/>
          <w:lang w:val="zh-CN"/>
        </w:rPr>
        <w:t>目标合理性分析：</w:t>
      </w:r>
      <w:r>
        <w:rPr>
          <w:rFonts w:hint="eastAsia" w:ascii="方正仿宋_GBK" w:hAnsi="方正仿宋_GBK" w:eastAsia="方正仿宋_GBK" w:cs="方正仿宋_GBK"/>
          <w:sz w:val="32"/>
          <w:szCs w:val="32"/>
          <w:lang w:val="zh-CN"/>
        </w:rPr>
        <w:t>申报内容紧密结合民族地区实际需求和政策导向，与本市民族工作重点任务高度契合。各项绩效目标明确、具体，具有可量化、可考核性，且基于充分的调研和可行性分析，目标设定合理可行，能够有效推动少数民族地区发展。</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方正楷体_GBK" w:hAnsi="方正楷体_GBK" w:eastAsia="方正楷体_GBK" w:cs="方正楷体_GBK"/>
          <w:b/>
          <w:sz w:val="32"/>
          <w:szCs w:val="32"/>
          <w:lang w:val="zh-CN"/>
        </w:rPr>
      </w:pPr>
      <w:r>
        <w:rPr>
          <w:rFonts w:hint="eastAsia" w:ascii="方正楷体_GBK" w:hAnsi="方正楷体_GBK" w:eastAsia="方正楷体_GBK" w:cs="方正楷体_GBK"/>
          <w:b/>
          <w:sz w:val="32"/>
          <w:szCs w:val="32"/>
          <w:lang w:val="zh-CN"/>
        </w:rPr>
        <w:t>（三）项目自评步骤及方法</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b/>
          <w:sz w:val="32"/>
          <w:szCs w:val="32"/>
          <w:lang w:val="zh-CN"/>
        </w:rPr>
        <w:t>1.自评步骤</w:t>
      </w:r>
      <w:r>
        <w:rPr>
          <w:rFonts w:hint="eastAsia" w:ascii="方正仿宋_GBK" w:hAnsi="方正仿宋_GBK" w:eastAsia="方正仿宋_GBK" w:cs="方正仿宋_GBK"/>
          <w:sz w:val="32"/>
          <w:szCs w:val="32"/>
          <w:lang w:val="zh-CN"/>
        </w:rPr>
        <w:t>：由市民族宗教委收集项目申报材料、资金使用凭证、项目实施记录、验收报告等资料；对照绩效目标，对项目完成情况、资金使用情况、社会效益等进行逐项检查与评估；通过实地走访、问卷调查、访谈等方式，收集项目受益对象及相关单位的意见和建议；汇总分析评估结果，撰写绩效自评报告。</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ascii="Segoe UI" w:hAnsi="Segoe UI" w:eastAsia="宋体" w:cs="Segoe UI"/>
          <w:color w:val="1F2329"/>
          <w:kern w:val="0"/>
          <w:sz w:val="32"/>
          <w:szCs w:val="32"/>
        </w:rPr>
      </w:pPr>
      <w:r>
        <w:rPr>
          <w:rFonts w:hint="eastAsia" w:ascii="方正仿宋_GBK" w:hAnsi="方正仿宋_GBK" w:eastAsia="方正仿宋_GBK" w:cs="方正仿宋_GBK"/>
          <w:b/>
          <w:sz w:val="32"/>
          <w:szCs w:val="32"/>
          <w:lang w:val="zh-CN"/>
        </w:rPr>
        <w:t>2.自评方法：</w:t>
      </w:r>
      <w:r>
        <w:rPr>
          <w:rFonts w:hint="eastAsia" w:ascii="方正仿宋_GBK" w:hAnsi="方正仿宋_GBK" w:eastAsia="方正仿宋_GBK" w:cs="方正仿宋_GBK"/>
          <w:sz w:val="32"/>
          <w:szCs w:val="32"/>
          <w:lang w:val="zh-CN"/>
        </w:rPr>
        <w:t>采用定量与定性相结合的方法。定量分析主要通过统计项目完成数量、资金支出金额、受益人口数量等数据，与绩效目标进行对比；定性分析则通过对项目实施过程、管理水平、社会效益等方面进行综合评价，结合实地调研和群众反馈，全面评估项目绩效。</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二、项目资金申报及使用情况</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方正楷体_GBK" w:hAnsi="方正楷体_GBK" w:eastAsia="方正楷体_GBK" w:cs="方正楷体_GBK"/>
          <w:b/>
          <w:sz w:val="32"/>
          <w:szCs w:val="32"/>
          <w:lang w:val="zh-CN"/>
        </w:rPr>
      </w:pPr>
      <w:r>
        <w:rPr>
          <w:rFonts w:hint="eastAsia" w:ascii="方正楷体_GBK" w:hAnsi="方正楷体_GBK" w:eastAsia="方正楷体_GBK" w:cs="方正楷体_GBK"/>
          <w:b/>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ascii="Times New Roman" w:hAnsi="Times New Roman" w:eastAsia="仿宋_GB2312" w:cs="Times New Roman"/>
          <w:sz w:val="32"/>
          <w:szCs w:val="32"/>
          <w:lang w:val="zh-CN"/>
        </w:rPr>
      </w:pPr>
      <w:r>
        <w:rPr>
          <w:rFonts w:hint="default" w:ascii="Times New Roman" w:hAnsi="Times New Roman" w:eastAsia="方正仿宋_GBK" w:cs="Times New Roman"/>
          <w:sz w:val="32"/>
          <w:szCs w:val="32"/>
          <w:lang w:val="zh-CN"/>
        </w:rPr>
        <w:t>2024</w:t>
      </w:r>
      <w:r>
        <w:rPr>
          <w:rFonts w:hint="eastAsia" w:ascii="方正仿宋_GBK" w:hAnsi="方正仿宋_GBK" w:eastAsia="方正仿宋_GBK" w:cs="方正仿宋_GBK"/>
          <w:sz w:val="32"/>
          <w:szCs w:val="32"/>
          <w:lang w:val="zh-CN"/>
        </w:rPr>
        <w:t>年，市民族宗教委组织各县（区）、相关单位开展市级少数民族发展资金项目申报工作</w:t>
      </w:r>
      <w:r>
        <w:rPr>
          <w:rFonts w:hint="eastAsia" w:ascii="Times New Roman" w:hAnsi="Times New Roman" w:eastAsia="方正仿宋_GBK" w:cs="Times New Roman"/>
          <w:sz w:val="32"/>
          <w:szCs w:val="32"/>
          <w:lang w:val="zh-CN"/>
        </w:rPr>
        <w:t>，经评审和部门审核，并报市委、市政府分管领导同意，确定支持项目22个，申报资金总额200万元。市财政局对申报项目进行复核后，下达资金批复文件，核定市级少数民族发展资金200万</w:t>
      </w:r>
      <w:r>
        <w:rPr>
          <w:rFonts w:hint="eastAsia" w:ascii="方正仿宋_GBK" w:hAnsi="方正仿宋_GBK" w:eastAsia="方正仿宋_GBK" w:cs="方正仿宋_GBK"/>
          <w:sz w:val="32"/>
          <w:szCs w:val="32"/>
          <w:lang w:val="zh-CN"/>
        </w:rPr>
        <w:t>元，资金申报、审核、批复程序规范有序。</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方正楷体_GBK" w:hAnsi="方正楷体_GBK" w:eastAsia="方正楷体_GBK" w:cs="方正楷体_GBK"/>
          <w:b/>
          <w:sz w:val="32"/>
          <w:szCs w:val="32"/>
          <w:lang w:val="zh-CN"/>
        </w:rPr>
      </w:pPr>
      <w:r>
        <w:rPr>
          <w:rFonts w:hint="eastAsia" w:ascii="方正楷体_GBK" w:hAnsi="方正楷体_GBK" w:eastAsia="方正楷体_GBK" w:cs="方正楷体_GBK"/>
          <w:b/>
          <w:sz w:val="32"/>
          <w:szCs w:val="32"/>
          <w:lang w:val="zh-CN"/>
        </w:rPr>
        <w:t>（二）资金计划、到位及使用情况</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Times New Roman" w:hAnsi="Times New Roman" w:eastAsia="方正仿宋_GBK" w:cs="Times New Roman"/>
          <w:sz w:val="32"/>
          <w:szCs w:val="32"/>
          <w:lang w:val="zh-CN"/>
        </w:rPr>
      </w:pPr>
      <w:r>
        <w:rPr>
          <w:rFonts w:hint="default" w:ascii="Times New Roman" w:hAnsi="Times New Roman" w:eastAsia="方正仿宋_GBK" w:cs="Times New Roman"/>
          <w:b/>
          <w:sz w:val="32"/>
          <w:szCs w:val="32"/>
          <w:lang w:val="zh-CN"/>
        </w:rPr>
        <w:t>1.</w:t>
      </w:r>
      <w:r>
        <w:rPr>
          <w:rFonts w:hint="eastAsia" w:ascii="方正仿宋_GBK" w:hAnsi="方正仿宋_GBK" w:eastAsia="方正仿宋_GBK" w:cs="方正仿宋_GBK"/>
          <w:b/>
          <w:sz w:val="32"/>
          <w:szCs w:val="32"/>
          <w:lang w:val="zh-CN"/>
        </w:rPr>
        <w:t>在资金计划方面</w:t>
      </w:r>
      <w:r>
        <w:rPr>
          <w:rFonts w:hint="eastAsia" w:ascii="方正仿宋_GBK" w:hAnsi="方正仿宋_GBK" w:eastAsia="方正仿宋_GBK" w:cs="方正仿宋_GBK"/>
          <w:sz w:val="32"/>
          <w:szCs w:val="32"/>
          <w:lang w:val="zh-CN"/>
        </w:rPr>
        <w:t>，</w:t>
      </w:r>
      <w:r>
        <w:rPr>
          <w:rFonts w:hint="eastAsia" w:ascii="Times New Roman" w:hAnsi="Times New Roman" w:eastAsia="方正仿宋_GBK" w:cs="Times New Roman"/>
          <w:sz w:val="32"/>
          <w:szCs w:val="32"/>
          <w:lang w:val="zh-CN"/>
        </w:rPr>
        <w:t>2024年度市级少数民族发展资金计划总额为200万元，全部来源于市级财政资金。</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方正仿宋_GBK" w:hAnsi="方正仿宋_GBK" w:eastAsia="方正仿宋_GBK" w:cs="方正仿宋_GBK"/>
          <w:sz w:val="32"/>
          <w:szCs w:val="32"/>
          <w:lang w:val="zh-CN"/>
        </w:rPr>
      </w:pPr>
      <w:r>
        <w:rPr>
          <w:rFonts w:hint="eastAsia" w:ascii="Times New Roman" w:hAnsi="Times New Roman" w:eastAsia="方正仿宋_GBK" w:cs="Times New Roman"/>
          <w:sz w:val="32"/>
          <w:szCs w:val="32"/>
          <w:lang w:val="zh-CN"/>
        </w:rPr>
        <w:t>（1）市民族宗教委获得57万元，具体用于铸牢中华民族共同体意识大宣教综合经费8万元、全市民族宗教工作领域维稳等综合经费10万元、市民族宗教事务服务中心运行经费16万元、民族专项资金项目管理经费4万元以及市民族宗教事务服务中心办公场所维修改造项目19万元</w:t>
      </w:r>
      <w:r>
        <w:rPr>
          <w:rFonts w:hint="eastAsia" w:ascii="方正仿宋_GBK" w:hAnsi="方正仿宋_GBK" w:eastAsia="方正仿宋_GBK" w:cs="方正仿宋_GBK"/>
          <w:sz w:val="32"/>
          <w:szCs w:val="32"/>
          <w:lang w:val="zh-CN"/>
        </w:rPr>
        <w:t>。</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Times New Roman" w:hAnsi="Times New Roman" w:eastAsia="方正仿宋_GBK" w:cs="Times New Roman"/>
          <w:sz w:val="32"/>
          <w:szCs w:val="32"/>
          <w:lang w:val="zh-CN"/>
        </w:rPr>
      </w:pPr>
      <w:r>
        <w:rPr>
          <w:rFonts w:hint="eastAsia" w:ascii="Times New Roman" w:hAnsi="Times New Roman" w:eastAsia="方正仿宋_GBK" w:cs="Times New Roman"/>
          <w:sz w:val="32"/>
          <w:szCs w:val="32"/>
          <w:lang w:val="zh-CN"/>
        </w:rPr>
        <w:t>（2）市农林科学院获得10万元，用于攀枝花市中高山民族地区种羊繁育养殖试点建设项目的技术服务。</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Times New Roman" w:hAnsi="Times New Roman" w:eastAsia="方正仿宋_GBK" w:cs="Times New Roman"/>
          <w:sz w:val="32"/>
          <w:szCs w:val="32"/>
          <w:lang w:val="zh-CN"/>
        </w:rPr>
      </w:pPr>
      <w:r>
        <w:rPr>
          <w:rFonts w:hint="eastAsia" w:ascii="Times New Roman" w:hAnsi="Times New Roman" w:eastAsia="方正仿宋_GBK" w:cs="Times New Roman"/>
          <w:sz w:val="32"/>
          <w:szCs w:val="32"/>
          <w:lang w:val="zh-CN"/>
        </w:rPr>
        <w:t>（3）攀枝花学院获得1万元，用于少数民族重大节假日活动补助。</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Times New Roman" w:hAnsi="Times New Roman" w:eastAsia="方正仿宋_GBK" w:cs="Times New Roman"/>
          <w:sz w:val="32"/>
          <w:szCs w:val="32"/>
          <w:lang w:val="zh-CN"/>
        </w:rPr>
      </w:pPr>
      <w:r>
        <w:rPr>
          <w:rFonts w:hint="eastAsia" w:ascii="Times New Roman" w:hAnsi="Times New Roman" w:eastAsia="方正仿宋_GBK" w:cs="Times New Roman"/>
          <w:sz w:val="32"/>
          <w:szCs w:val="32"/>
          <w:lang w:val="zh-CN"/>
        </w:rPr>
        <w:t>（4）东区获得10万元，用于民族特色文化餐饮示范店建设项目。</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Times New Roman" w:hAnsi="Times New Roman" w:eastAsia="方正仿宋_GBK" w:cs="Times New Roman"/>
          <w:sz w:val="32"/>
          <w:szCs w:val="32"/>
          <w:lang w:val="zh-CN"/>
        </w:rPr>
      </w:pPr>
      <w:r>
        <w:rPr>
          <w:rFonts w:hint="eastAsia" w:ascii="Times New Roman" w:hAnsi="Times New Roman" w:eastAsia="方正仿宋_GBK" w:cs="Times New Roman"/>
          <w:sz w:val="32"/>
          <w:szCs w:val="32"/>
          <w:lang w:val="zh-CN"/>
        </w:rPr>
        <w:t>（5）仁和区获得88万元，涵盖仁和区争当全国民族团结进步模范集体项目13万元、攀枝花市创建全国民族团结进步示范市仁和区氛围营造项目15万元、仁和区民族团结进步创建点位打造项目19万元、仁和区“三交”故事整理项目10万元、仁和区铸牢中华民族共同体意识综合项目费用12万元、仁和区同德镇马拉所村团树组傈僳湾移民安置点生产用水项目12万元、仁和区中坝中心学校停车场隐患整治项目6万元以及仁和区平地镇迤沙拉村火把节活动补助经费1万元。</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Times New Roman" w:hAnsi="Times New Roman" w:eastAsia="方正仿宋_GBK" w:cs="Times New Roman"/>
          <w:sz w:val="32"/>
          <w:szCs w:val="32"/>
          <w:lang w:val="zh-CN"/>
        </w:rPr>
      </w:pPr>
      <w:r>
        <w:rPr>
          <w:rFonts w:hint="eastAsia" w:ascii="Times New Roman" w:hAnsi="Times New Roman" w:eastAsia="方正仿宋_GBK" w:cs="Times New Roman"/>
          <w:sz w:val="32"/>
          <w:szCs w:val="32"/>
          <w:lang w:val="zh-CN"/>
        </w:rPr>
        <w:t>（6）米易县获得31万元，包括米易县城区少数民族殡葬配套设施改造项目15万元、麻陇彝族乡庄房村产业路维修项目15万元和米易县湾丘彝族乡黄龙村火把节活动补助经费1万元。</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Times New Roman" w:hAnsi="Times New Roman" w:eastAsia="方正仿宋_GBK" w:cs="Times New Roman"/>
          <w:sz w:val="32"/>
          <w:szCs w:val="32"/>
          <w:lang w:val="zh-CN"/>
        </w:rPr>
      </w:pPr>
      <w:r>
        <w:rPr>
          <w:rFonts w:hint="eastAsia" w:ascii="Times New Roman" w:hAnsi="Times New Roman" w:eastAsia="方正仿宋_GBK" w:cs="Times New Roman"/>
          <w:sz w:val="32"/>
          <w:szCs w:val="32"/>
          <w:lang w:val="zh-CN"/>
        </w:rPr>
        <w:t>（7）盐边县获得3万元，用于盐边县格萨拉彝族乡火把节活动补助经费1万元、盐边县永兴镇阔时节及送年节活动补助经费1万元和盐边县红宝苗族彝族乡蹦鼓节活动补助经费1万元。</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Times New Roman" w:hAnsi="Times New Roman" w:eastAsia="方正仿宋_GBK" w:cs="Times New Roman"/>
          <w:sz w:val="32"/>
          <w:szCs w:val="32"/>
          <w:lang w:val="zh-CN"/>
        </w:rPr>
      </w:pPr>
      <w:r>
        <w:rPr>
          <w:rFonts w:hint="eastAsia" w:ascii="Times New Roman" w:hAnsi="Times New Roman" w:eastAsia="方正仿宋_GBK" w:cs="Times New Roman"/>
          <w:b/>
          <w:bCs/>
          <w:sz w:val="32"/>
          <w:szCs w:val="32"/>
          <w:lang w:val="zh-CN"/>
        </w:rPr>
        <w:t>2.在资金到位情况上</w:t>
      </w:r>
      <w:r>
        <w:rPr>
          <w:rFonts w:hint="eastAsia" w:ascii="Times New Roman" w:hAnsi="Times New Roman" w:eastAsia="方正仿宋_GBK" w:cs="Times New Roman"/>
          <w:sz w:val="32"/>
          <w:szCs w:val="32"/>
          <w:lang w:val="zh-CN"/>
        </w:rPr>
        <w:t>，2024年，200万元项目资金已全部足额到位，资金到位率达100%，保障了各项目能够及时启动与顺利推进，未出现资金短缺影响项目实施进度的情况。</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方正仿宋_GBK" w:hAnsi="方正仿宋_GBK" w:eastAsia="方正仿宋_GBK" w:cs="方正仿宋_GBK"/>
          <w:sz w:val="32"/>
          <w:szCs w:val="32"/>
          <w:lang w:val="zh-CN"/>
        </w:rPr>
      </w:pPr>
      <w:r>
        <w:rPr>
          <w:rFonts w:hint="eastAsia" w:ascii="Times New Roman" w:hAnsi="Times New Roman" w:eastAsia="方正仿宋_GBK" w:cs="Times New Roman"/>
          <w:b/>
          <w:bCs/>
          <w:sz w:val="32"/>
          <w:szCs w:val="32"/>
          <w:lang w:val="zh-CN"/>
        </w:rPr>
        <w:t>3.资金使用</w:t>
      </w:r>
      <w:r>
        <w:rPr>
          <w:rFonts w:hint="eastAsia" w:ascii="方正仿宋_GBK" w:hAnsi="方正仿宋_GBK" w:eastAsia="方正仿宋_GBK" w:cs="方正仿宋_GBK"/>
          <w:b/>
          <w:bCs/>
          <w:sz w:val="32"/>
          <w:szCs w:val="32"/>
          <w:lang w:val="zh-CN"/>
        </w:rPr>
        <w:t>方面</w:t>
      </w:r>
      <w:r>
        <w:rPr>
          <w:rFonts w:hint="eastAsia" w:ascii="方正仿宋_GBK" w:hAnsi="方正仿宋_GBK" w:eastAsia="方正仿宋_GBK" w:cs="方正仿宋_GBK"/>
          <w:b w:val="0"/>
          <w:bCs w:val="0"/>
          <w:sz w:val="32"/>
          <w:szCs w:val="32"/>
          <w:lang w:val="zh-CN"/>
        </w:rPr>
        <w:t>，</w:t>
      </w:r>
      <w:r>
        <w:rPr>
          <w:rFonts w:hint="eastAsia" w:ascii="方正仿宋_GBK" w:hAnsi="方正仿宋_GBK" w:eastAsia="方正仿宋_GBK" w:cs="方正仿宋_GBK"/>
          <w:sz w:val="32"/>
          <w:szCs w:val="32"/>
          <w:lang w:val="zh-CN"/>
        </w:rPr>
        <w:t>各项目实施单位严格按照资金管理办法及项目预算执行，资金支付范围均围绕项目建设及活动开展需求，支付标准符合相关规定，支付进度与项目实际实施进度相匹配，支付依据充分且合规。每一笔资金支出均做到专款专用，未发现违规使用资金的现象，确保了资金使用的安全性与有效性。</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ascii="Times New Roman" w:hAnsi="Times New Roman" w:eastAsia="仿宋_GB2312" w:cs="Times New Roman"/>
          <w:sz w:val="32"/>
          <w:szCs w:val="32"/>
          <w:lang w:val="zh-CN"/>
        </w:rPr>
      </w:pPr>
      <w:r>
        <w:rPr>
          <w:rFonts w:hint="eastAsia" w:ascii="方正楷体_GBK" w:hAnsi="方正楷体_GBK" w:eastAsia="方正楷体_GBK" w:cs="方正楷体_GBK"/>
          <w:b/>
          <w:sz w:val="32"/>
          <w:szCs w:val="32"/>
          <w:lang w:val="zh-CN"/>
        </w:rPr>
        <w:t>（三）项目财务管理情况。</w:t>
      </w:r>
      <w:r>
        <w:rPr>
          <w:rFonts w:hint="eastAsia" w:ascii="方正仿宋_GBK" w:hAnsi="方正仿宋_GBK" w:eastAsia="方正仿宋_GBK" w:cs="方正仿宋_GBK"/>
          <w:sz w:val="32"/>
          <w:szCs w:val="32"/>
          <w:lang w:val="zh-CN"/>
        </w:rPr>
        <w:t>各项目实施单位均建立健全财务管理制度，严格执行财务审批流程和会计核算制度。资金使用实行专款专用，账务处理及时准确，会计核算规范，确保了资金使用的安全性和规范性。</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三、项目实施及管理情况</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方正楷体_GBK" w:hAnsi="方正楷体_GBK" w:eastAsia="方正楷体_GBK" w:cs="方正楷体_GBK"/>
          <w:b/>
          <w:sz w:val="32"/>
          <w:szCs w:val="32"/>
          <w:lang w:val="zh-CN"/>
        </w:rPr>
      </w:pPr>
      <w:r>
        <w:rPr>
          <w:rFonts w:hint="eastAsia" w:ascii="方正楷体_GBK" w:hAnsi="方正楷体_GBK" w:eastAsia="方正楷体_GBK" w:cs="方正楷体_GBK"/>
          <w:b/>
          <w:sz w:val="32"/>
          <w:szCs w:val="32"/>
          <w:lang w:val="zh-CN"/>
        </w:rPr>
        <w:t>（一）项目组织架构及实施流程</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方正仿宋_GBK" w:hAnsi="方正仿宋_GBK" w:eastAsia="方正仿宋_GBK" w:cs="方正仿宋_GBK"/>
          <w:sz w:val="32"/>
          <w:szCs w:val="32"/>
          <w:lang w:val="zh-CN"/>
        </w:rPr>
      </w:pPr>
      <w:r>
        <w:rPr>
          <w:rFonts w:hint="eastAsia" w:ascii="Times New Roman" w:hAnsi="Times New Roman" w:eastAsia="仿宋_GB2312" w:cs="Times New Roman"/>
          <w:b/>
          <w:sz w:val="32"/>
          <w:szCs w:val="32"/>
          <w:lang w:val="zh-CN"/>
        </w:rPr>
        <w:t>1.</w:t>
      </w:r>
      <w:r>
        <w:rPr>
          <w:rFonts w:hint="eastAsia" w:ascii="方正仿宋_GBK" w:hAnsi="方正仿宋_GBK" w:eastAsia="方正仿宋_GBK" w:cs="方正仿宋_GBK"/>
          <w:b/>
          <w:sz w:val="32"/>
          <w:szCs w:val="32"/>
          <w:lang w:val="zh-CN"/>
        </w:rPr>
        <w:t>组织架构：</w:t>
      </w:r>
      <w:r>
        <w:rPr>
          <w:rFonts w:hint="eastAsia" w:ascii="方正仿宋_GBK" w:hAnsi="方正仿宋_GBK" w:eastAsia="方正仿宋_GBK" w:cs="方正仿宋_GBK"/>
          <w:sz w:val="32"/>
          <w:szCs w:val="32"/>
          <w:lang w:val="zh-CN"/>
        </w:rPr>
        <w:t>在攀枝花市民族地区经济开发工作领导小组的领导下，由市民族宗教委牵头，市财政局配合，联合推进项目的统筹规划、协调指导和监督管理。各项目实施单位成立相应的项目执行小组，具体负责项目的实施工作。</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方正仿宋_GBK" w:hAnsi="方正仿宋_GBK" w:eastAsia="方正仿宋_GBK" w:cs="方正仿宋_GBK"/>
          <w:sz w:val="32"/>
          <w:szCs w:val="32"/>
          <w:lang w:val="zh-CN"/>
        </w:rPr>
      </w:pPr>
      <w:r>
        <w:rPr>
          <w:rFonts w:hint="default" w:ascii="Times New Roman" w:hAnsi="Times New Roman" w:eastAsia="方正仿宋_GBK" w:cs="Times New Roman"/>
          <w:b/>
          <w:sz w:val="32"/>
          <w:szCs w:val="32"/>
          <w:lang w:val="zh-CN"/>
        </w:rPr>
        <w:t>2.</w:t>
      </w:r>
      <w:r>
        <w:rPr>
          <w:rFonts w:hint="eastAsia" w:ascii="方正仿宋_GBK" w:hAnsi="方正仿宋_GBK" w:eastAsia="方正仿宋_GBK" w:cs="方正仿宋_GBK"/>
          <w:b/>
          <w:sz w:val="32"/>
          <w:szCs w:val="32"/>
          <w:lang w:val="zh-CN"/>
        </w:rPr>
        <w:t>实施流程：</w:t>
      </w:r>
      <w:r>
        <w:rPr>
          <w:rFonts w:hint="eastAsia" w:ascii="方正仿宋_GBK" w:hAnsi="方正仿宋_GBK" w:eastAsia="方正仿宋_GBK" w:cs="方正仿宋_GBK"/>
          <w:sz w:val="32"/>
          <w:szCs w:val="32"/>
          <w:lang w:val="zh-CN"/>
        </w:rPr>
        <w:t>项目申报单位按照要求提交项目申报材料，经县（区）民族宗教局初审后报送市民族宗教委；市民族宗教委联合市财政局对申报项目进行评审，确定拟支持项目名单；报送市委、市政府分管领导同意；市财政局下达资金批复文件后，项目实施单位与相关部门签订项目实施合同，按照项目实施方案组织实施；项目完成后，由项目实施单位提出验收申请，县（区）民族宗教局或受援单位组织验收。</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方正楷体_GBK" w:hAnsi="方正楷体_GBK" w:eastAsia="方正楷体_GBK" w:cs="方正楷体_GBK"/>
          <w:b/>
          <w:sz w:val="32"/>
          <w:szCs w:val="32"/>
          <w:lang w:val="zh-CN"/>
        </w:rPr>
      </w:pPr>
      <w:r>
        <w:rPr>
          <w:rFonts w:hint="eastAsia" w:ascii="方正楷体_GBK" w:hAnsi="方正楷体_GBK" w:eastAsia="方正楷体_GBK" w:cs="方正楷体_GBK"/>
          <w:b/>
          <w:sz w:val="32"/>
          <w:szCs w:val="32"/>
          <w:lang w:val="zh-CN"/>
        </w:rPr>
        <w:t>（二）项目管理情况</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ascii="Times New Roman" w:hAnsi="Times New Roman" w:eastAsia="仿宋_GB2312" w:cs="Times New Roman"/>
          <w:sz w:val="32"/>
          <w:szCs w:val="32"/>
          <w:lang w:val="zh-CN"/>
        </w:rPr>
      </w:pPr>
      <w:r>
        <w:rPr>
          <w:rFonts w:hint="eastAsia" w:ascii="方正仿宋_GBK" w:hAnsi="方正仿宋_GBK" w:eastAsia="方正仿宋_GBK" w:cs="方正仿宋_GBK"/>
          <w:sz w:val="32"/>
          <w:szCs w:val="32"/>
          <w:lang w:val="zh-CN"/>
        </w:rPr>
        <w:t>各项目实施单位严格执行相关法律法规和项目管理制度。在项目实施过程中，涉及政府采购和招投标的项目，均按照规定程序进行公开招标或政府采购，确保项目实施的公平、公正、公开。同时，各项目实施单位对项目建设内容、资金使用情况等进行公示，接受社会监督，保障了项目的透明度和规范性。</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方正楷体_GBK" w:hAnsi="方正楷体_GBK" w:eastAsia="方正楷体_GBK" w:cs="方正楷体_GBK"/>
          <w:b/>
          <w:sz w:val="32"/>
          <w:szCs w:val="32"/>
          <w:lang w:val="zh-CN"/>
        </w:rPr>
      </w:pPr>
      <w:r>
        <w:rPr>
          <w:rFonts w:hint="eastAsia" w:ascii="方正楷体_GBK" w:hAnsi="方正楷体_GBK" w:eastAsia="方正楷体_GBK" w:cs="方正楷体_GBK"/>
          <w:b/>
          <w:sz w:val="32"/>
          <w:szCs w:val="32"/>
          <w:lang w:val="zh-CN"/>
        </w:rPr>
        <w:t>（三）项目监管情况</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ascii="Times New Roman" w:hAnsi="Times New Roman" w:eastAsia="仿宋_GB2312" w:cs="Times New Roman"/>
          <w:sz w:val="32"/>
          <w:szCs w:val="32"/>
          <w:lang w:val="zh-CN"/>
        </w:rPr>
      </w:pPr>
      <w:r>
        <w:rPr>
          <w:rFonts w:hint="eastAsia" w:ascii="方正仿宋_GBK" w:hAnsi="方正仿宋_GBK" w:eastAsia="方正仿宋_GBK" w:cs="方正仿宋_GBK"/>
          <w:sz w:val="32"/>
          <w:szCs w:val="32"/>
          <w:lang w:val="zh-CN"/>
        </w:rPr>
        <w:t>市民族宗教委联合市财政局通过不定期检查、不定期抽查等方式加强项目监管。不定期检查重点检查项目进度、资金使用和工程质量等情况；不定期抽查根据项目实施情况随机开展，及时发现和解决项目实施过程中的问题。通过有效的监管措施，保障了项目顺利实施，提高了资金使用效益。</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四、项目绩效情况</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方正楷体_GBK" w:hAnsi="方正楷体_GBK" w:eastAsia="方正楷体_GBK" w:cs="方正楷体_GBK"/>
          <w:b/>
          <w:sz w:val="32"/>
          <w:szCs w:val="32"/>
          <w:lang w:val="zh-CN"/>
        </w:rPr>
      </w:pPr>
      <w:r>
        <w:rPr>
          <w:rFonts w:hint="eastAsia" w:ascii="方正楷体_GBK" w:hAnsi="方正楷体_GBK" w:eastAsia="方正楷体_GBK" w:cs="方正楷体_GBK"/>
          <w:b/>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方正仿宋_GBK" w:hAnsi="方正仿宋_GBK" w:eastAsia="方正仿宋_GBK" w:cs="方正仿宋_GBK"/>
          <w:sz w:val="32"/>
          <w:szCs w:val="32"/>
          <w:lang w:val="zh-CN"/>
        </w:rPr>
      </w:pPr>
      <w:r>
        <w:rPr>
          <w:rFonts w:hint="eastAsia" w:ascii="Times New Roman" w:hAnsi="Times New Roman" w:eastAsia="仿宋_GB2312" w:cs="Times New Roman"/>
          <w:b/>
          <w:sz w:val="32"/>
          <w:szCs w:val="32"/>
          <w:lang w:val="zh-CN"/>
        </w:rPr>
        <w:t>1.</w:t>
      </w:r>
      <w:r>
        <w:rPr>
          <w:rFonts w:hint="eastAsia" w:ascii="方正仿宋_GBK" w:hAnsi="方正仿宋_GBK" w:eastAsia="方正仿宋_GBK" w:cs="方正仿宋_GBK"/>
          <w:b/>
          <w:sz w:val="32"/>
          <w:szCs w:val="32"/>
          <w:lang w:val="zh-CN"/>
        </w:rPr>
        <w:t>数量完成情况</w:t>
      </w:r>
      <w:r>
        <w:rPr>
          <w:rFonts w:hint="eastAsia" w:ascii="方正仿宋_GBK" w:hAnsi="方正仿宋_GBK" w:eastAsia="方正仿宋_GBK" w:cs="方正仿宋_GBK"/>
          <w:sz w:val="32"/>
          <w:szCs w:val="32"/>
          <w:lang w:val="zh-CN"/>
        </w:rPr>
        <w:t>：共完成民族文化活动</w:t>
      </w:r>
      <w:r>
        <w:rPr>
          <w:rFonts w:hint="default" w:ascii="Times New Roman" w:hAnsi="Times New Roman" w:eastAsia="方正仿宋_GBK" w:cs="Times New Roman"/>
          <w:sz w:val="32"/>
          <w:szCs w:val="32"/>
          <w:lang w:val="zh-CN"/>
        </w:rPr>
        <w:t>6</w:t>
      </w:r>
      <w:r>
        <w:rPr>
          <w:rFonts w:hint="eastAsia" w:ascii="方正仿宋_GBK" w:hAnsi="方正仿宋_GBK" w:eastAsia="方正仿宋_GBK" w:cs="方正仿宋_GBK"/>
          <w:sz w:val="32"/>
          <w:szCs w:val="32"/>
          <w:lang w:val="zh-CN"/>
        </w:rPr>
        <w:t>场，参与群众</w:t>
      </w:r>
      <w:r>
        <w:rPr>
          <w:rFonts w:hint="eastAsia" w:ascii="Times New Roman" w:hAnsi="Times New Roman" w:eastAsia="方正仿宋_GBK" w:cs="Times New Roman"/>
          <w:sz w:val="32"/>
          <w:szCs w:val="32"/>
          <w:lang w:val="zh-CN"/>
        </w:rPr>
        <w:t>达8000余人次；扶持民族特色产业项目4个，带动少数民族群众就业近100人；完成民族团结进步创建示范点建设3个；实施基础设施改善项目1个</w:t>
      </w:r>
      <w:r>
        <w:rPr>
          <w:rFonts w:hint="eastAsia" w:ascii="方正仿宋_GBK" w:hAnsi="方正仿宋_GBK" w:eastAsia="方正仿宋_GBK" w:cs="方正仿宋_GBK"/>
          <w:sz w:val="32"/>
          <w:szCs w:val="32"/>
          <w:lang w:val="zh-CN"/>
        </w:rPr>
        <w:t>，均完成既定目标。</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Times New Roman" w:hAnsi="Times New Roman" w:eastAsia="方正仿宋_GBK" w:cs="Times New Roman"/>
          <w:sz w:val="32"/>
          <w:szCs w:val="32"/>
          <w:lang w:val="zh-CN"/>
        </w:rPr>
      </w:pPr>
      <w:r>
        <w:rPr>
          <w:rFonts w:hint="default" w:ascii="Times New Roman" w:hAnsi="Times New Roman" w:eastAsia="方正仿宋_GBK" w:cs="Times New Roman"/>
          <w:b/>
          <w:sz w:val="32"/>
          <w:szCs w:val="32"/>
          <w:lang w:val="zh-CN"/>
        </w:rPr>
        <w:t>2.</w:t>
      </w:r>
      <w:r>
        <w:rPr>
          <w:rFonts w:hint="eastAsia" w:ascii="方正仿宋_GBK" w:hAnsi="方正仿宋_GBK" w:eastAsia="方正仿宋_GBK" w:cs="方正仿宋_GBK"/>
          <w:b/>
          <w:sz w:val="32"/>
          <w:szCs w:val="32"/>
          <w:lang w:val="zh-CN"/>
        </w:rPr>
        <w:t>质量完成情况</w:t>
      </w:r>
      <w:r>
        <w:rPr>
          <w:rFonts w:hint="eastAsia" w:ascii="方正仿宋_GBK" w:hAnsi="方正仿宋_GBK" w:eastAsia="方正仿宋_GBK" w:cs="方正仿宋_GBK"/>
          <w:sz w:val="32"/>
          <w:szCs w:val="32"/>
          <w:lang w:val="zh-CN"/>
        </w:rPr>
        <w:t>：所有项目均通过验收，验收合格率</w:t>
      </w:r>
      <w:r>
        <w:rPr>
          <w:rFonts w:hint="eastAsia" w:ascii="Times New Roman" w:hAnsi="Times New Roman" w:eastAsia="方正仿宋_GBK" w:cs="Times New Roman"/>
          <w:sz w:val="32"/>
          <w:szCs w:val="32"/>
          <w:lang w:val="zh-CN"/>
        </w:rPr>
        <w:t>100%，项目建设质量达到预期标准。</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b/>
          <w:sz w:val="32"/>
          <w:szCs w:val="32"/>
          <w:lang w:val="zh-CN"/>
        </w:rPr>
        <w:t>3.时效完成情况：</w:t>
      </w:r>
      <w:r>
        <w:rPr>
          <w:rFonts w:hint="eastAsia" w:ascii="方正仿宋_GBK" w:hAnsi="方正仿宋_GBK" w:eastAsia="方正仿宋_GBK" w:cs="方正仿宋_GBK"/>
          <w:sz w:val="32"/>
          <w:szCs w:val="32"/>
          <w:lang w:val="zh-CN"/>
        </w:rPr>
        <w:t>项目均按照计划</w:t>
      </w:r>
      <w:r>
        <w:rPr>
          <w:rFonts w:hint="eastAsia" w:ascii="Times New Roman" w:hAnsi="Times New Roman" w:eastAsia="方正仿宋_GBK" w:cs="Times New Roman"/>
          <w:sz w:val="32"/>
          <w:szCs w:val="32"/>
          <w:lang w:val="zh-CN"/>
        </w:rPr>
        <w:t>进度</w:t>
      </w:r>
      <w:r>
        <w:rPr>
          <w:rFonts w:hint="eastAsia" w:ascii="方正仿宋_GBK" w:hAnsi="方正仿宋_GBK" w:eastAsia="方正仿宋_GBK" w:cs="方正仿宋_GBK"/>
          <w:sz w:val="32"/>
          <w:szCs w:val="32"/>
          <w:lang w:val="zh-CN"/>
        </w:rPr>
        <w:t>推进，在</w:t>
      </w:r>
      <w:r>
        <w:rPr>
          <w:rFonts w:hint="eastAsia" w:ascii="Times New Roman" w:hAnsi="Times New Roman" w:eastAsia="方正仿宋_GBK" w:cs="Times New Roman"/>
          <w:sz w:val="32"/>
          <w:szCs w:val="32"/>
          <w:lang w:val="zh-CN"/>
        </w:rPr>
        <w:t>2025</w:t>
      </w:r>
      <w:r>
        <w:rPr>
          <w:rFonts w:hint="eastAsia" w:ascii="方正仿宋_GBK" w:hAnsi="方正仿宋_GBK" w:eastAsia="方正仿宋_GBK" w:cs="方正仿宋_GBK"/>
          <w:sz w:val="32"/>
          <w:szCs w:val="32"/>
          <w:lang w:val="zh-CN"/>
        </w:rPr>
        <w:t>年上半年前全部完成，无延期情况。</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b/>
          <w:sz w:val="32"/>
          <w:szCs w:val="32"/>
          <w:lang w:val="zh-CN"/>
        </w:rPr>
        <w:t>4.成本控制情况：</w:t>
      </w:r>
      <w:r>
        <w:rPr>
          <w:rFonts w:hint="eastAsia" w:ascii="方正仿宋_GBK" w:hAnsi="方正仿宋_GBK" w:eastAsia="方正仿宋_GBK" w:cs="方正仿宋_GBK"/>
          <w:sz w:val="32"/>
          <w:szCs w:val="32"/>
          <w:lang w:val="zh-CN"/>
        </w:rPr>
        <w:t>项目实际支出控制在预算范围内，无超支和违规记录。</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方正楷体_GBK" w:hAnsi="方正楷体_GBK" w:eastAsia="方正楷体_GBK" w:cs="方正楷体_GBK"/>
          <w:b/>
          <w:sz w:val="32"/>
          <w:szCs w:val="32"/>
          <w:lang w:val="zh-CN"/>
        </w:rPr>
      </w:pPr>
      <w:r>
        <w:rPr>
          <w:rFonts w:hint="eastAsia" w:ascii="方正楷体_GBK" w:hAnsi="方正楷体_GBK" w:eastAsia="方正楷体_GBK" w:cs="方正楷体_GBK"/>
          <w:b/>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方正仿宋_GBK" w:hAnsi="方正仿宋_GBK" w:eastAsia="方正仿宋_GBK" w:cs="方正仿宋_GBK"/>
          <w:sz w:val="32"/>
          <w:szCs w:val="32"/>
          <w:lang w:val="zh-CN"/>
        </w:rPr>
      </w:pPr>
      <w:r>
        <w:rPr>
          <w:rFonts w:hint="eastAsia" w:ascii="Times New Roman" w:hAnsi="Times New Roman" w:eastAsia="仿宋_GB2312" w:cs="Times New Roman"/>
          <w:b/>
          <w:sz w:val="32"/>
          <w:szCs w:val="32"/>
          <w:lang w:val="zh-CN"/>
        </w:rPr>
        <w:t>1.</w:t>
      </w:r>
      <w:r>
        <w:rPr>
          <w:rFonts w:hint="eastAsia" w:ascii="方正仿宋_GBK" w:hAnsi="方正仿宋_GBK" w:eastAsia="方正仿宋_GBK" w:cs="方正仿宋_GBK"/>
          <w:b/>
          <w:sz w:val="32"/>
          <w:szCs w:val="32"/>
          <w:lang w:val="zh-CN"/>
        </w:rPr>
        <w:t>经济效益：</w:t>
      </w:r>
      <w:r>
        <w:rPr>
          <w:rFonts w:hint="eastAsia" w:ascii="方正仿宋_GBK" w:hAnsi="方正仿宋_GBK" w:eastAsia="方正仿宋_GBK" w:cs="方正仿宋_GBK"/>
          <w:sz w:val="32"/>
          <w:szCs w:val="32"/>
          <w:lang w:val="zh-CN"/>
        </w:rPr>
        <w:t>民族特色产业项目的实施，促进了少数民族地区产业发展，带动了群众增收，预计实现年产值增长</w:t>
      </w:r>
      <w:r>
        <w:rPr>
          <w:rFonts w:hint="default" w:ascii="Times New Roman" w:hAnsi="Times New Roman" w:eastAsia="方正仿宋_GBK" w:cs="Times New Roman"/>
          <w:sz w:val="32"/>
          <w:szCs w:val="32"/>
          <w:lang w:val="zh-CN"/>
        </w:rPr>
        <w:t>10</w:t>
      </w:r>
      <w:r>
        <w:rPr>
          <w:rFonts w:hint="eastAsia" w:ascii="方正仿宋_GBK" w:hAnsi="方正仿宋_GBK" w:eastAsia="方正仿宋_GBK" w:cs="方正仿宋_GBK"/>
          <w:sz w:val="32"/>
          <w:szCs w:val="32"/>
          <w:lang w:val="zh-CN"/>
        </w:rPr>
        <w:t>万元。</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方正仿宋_GBK" w:hAnsi="方正仿宋_GBK" w:eastAsia="方正仿宋_GBK" w:cs="方正仿宋_GBK"/>
          <w:sz w:val="32"/>
          <w:szCs w:val="32"/>
          <w:lang w:val="zh-CN"/>
        </w:rPr>
      </w:pPr>
      <w:r>
        <w:rPr>
          <w:rFonts w:hint="default" w:ascii="Times New Roman" w:hAnsi="Times New Roman" w:eastAsia="方正仿宋_GBK" w:cs="Times New Roman"/>
          <w:b/>
          <w:sz w:val="32"/>
          <w:szCs w:val="32"/>
          <w:lang w:val="zh-CN"/>
        </w:rPr>
        <w:t>2.</w:t>
      </w:r>
      <w:r>
        <w:rPr>
          <w:rFonts w:hint="eastAsia" w:ascii="方正仿宋_GBK" w:hAnsi="方正仿宋_GBK" w:eastAsia="方正仿宋_GBK" w:cs="方正仿宋_GBK"/>
          <w:b/>
          <w:sz w:val="32"/>
          <w:szCs w:val="32"/>
          <w:lang w:val="zh-CN"/>
        </w:rPr>
        <w:t>社会效益：</w:t>
      </w:r>
      <w:r>
        <w:rPr>
          <w:rFonts w:hint="eastAsia" w:ascii="方正仿宋_GBK" w:hAnsi="方正仿宋_GBK" w:eastAsia="方正仿宋_GBK" w:cs="方正仿宋_GBK"/>
          <w:sz w:val="32"/>
          <w:szCs w:val="32"/>
          <w:lang w:val="zh-CN"/>
        </w:rPr>
        <w:t>通过民族团结进步创建、民族文化活动开展等项目，增强了各民族之间的交往交流交融，提升了民族团结意识，营造了和谐稳定的社会氛围；基础设施的改善，提高了民族地区群众的生活质量。</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方正仿宋_GBK" w:hAnsi="方正仿宋_GBK" w:eastAsia="方正仿宋_GBK" w:cs="方正仿宋_GBK"/>
          <w:sz w:val="32"/>
          <w:szCs w:val="32"/>
          <w:lang w:val="zh-CN"/>
        </w:rPr>
      </w:pPr>
      <w:r>
        <w:rPr>
          <w:rFonts w:hint="eastAsia" w:ascii="Times New Roman" w:hAnsi="Times New Roman" w:eastAsia="方正仿宋_GBK" w:cs="Times New Roman"/>
          <w:b/>
          <w:sz w:val="32"/>
          <w:szCs w:val="32"/>
          <w:lang w:val="zh-CN"/>
        </w:rPr>
        <w:t>3.生</w:t>
      </w:r>
      <w:r>
        <w:rPr>
          <w:rFonts w:hint="eastAsia" w:ascii="方正仿宋_GBK" w:hAnsi="方正仿宋_GBK" w:eastAsia="方正仿宋_GBK" w:cs="方正仿宋_GBK"/>
          <w:b/>
          <w:sz w:val="32"/>
          <w:szCs w:val="32"/>
          <w:lang w:val="zh-CN"/>
        </w:rPr>
        <w:t>态效益</w:t>
      </w:r>
      <w:r>
        <w:rPr>
          <w:rFonts w:hint="eastAsia" w:ascii="方正仿宋_GBK" w:hAnsi="方正仿宋_GBK" w:eastAsia="方正仿宋_GBK" w:cs="方正仿宋_GBK"/>
          <w:sz w:val="32"/>
          <w:szCs w:val="32"/>
          <w:lang w:val="zh-CN"/>
        </w:rPr>
        <w:t>：部分产业项目注重生态保护，采用绿色生产方式，促进了民族地区生态环境的可持续发展。</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方正仿宋_GBK" w:hAnsi="方正仿宋_GBK" w:eastAsia="方正仿宋_GBK" w:cs="方正仿宋_GBK"/>
          <w:sz w:val="32"/>
          <w:szCs w:val="32"/>
          <w:lang w:val="zh-CN"/>
        </w:rPr>
      </w:pPr>
      <w:r>
        <w:rPr>
          <w:rFonts w:hint="eastAsia" w:ascii="Times New Roman" w:hAnsi="Times New Roman" w:eastAsia="方正仿宋_GBK" w:cs="Times New Roman"/>
          <w:b/>
          <w:sz w:val="32"/>
          <w:szCs w:val="32"/>
          <w:lang w:val="zh-CN"/>
        </w:rPr>
        <w:t>4.可</w:t>
      </w:r>
      <w:r>
        <w:rPr>
          <w:rFonts w:hint="eastAsia" w:ascii="方正仿宋_GBK" w:hAnsi="方正仿宋_GBK" w:eastAsia="方正仿宋_GBK" w:cs="方正仿宋_GBK"/>
          <w:b/>
          <w:sz w:val="32"/>
          <w:szCs w:val="32"/>
          <w:lang w:val="zh-CN"/>
        </w:rPr>
        <w:t>持续效益：</w:t>
      </w:r>
      <w:r>
        <w:rPr>
          <w:rFonts w:hint="eastAsia" w:ascii="方正仿宋_GBK" w:hAnsi="方正仿宋_GBK" w:eastAsia="方正仿宋_GBK" w:cs="方正仿宋_GBK"/>
          <w:sz w:val="32"/>
          <w:szCs w:val="32"/>
          <w:lang w:val="zh-CN"/>
        </w:rPr>
        <w:t>项目的实施为民族地区发展奠定了良好基础，民族特色产业的发展和文化品牌的打造，具有较强的可持续性，将长期带动地区经济社会发展。</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ascii="Times New Roman" w:hAnsi="Times New Roman" w:eastAsia="仿宋_GB2312" w:cs="Times New Roman"/>
          <w:sz w:val="32"/>
          <w:szCs w:val="32"/>
          <w:lang w:val="zh-CN"/>
        </w:rPr>
      </w:pPr>
      <w:r>
        <w:rPr>
          <w:rFonts w:hint="eastAsia" w:ascii="Times New Roman" w:hAnsi="Times New Roman" w:eastAsia="方正仿宋_GBK" w:cs="Times New Roman"/>
          <w:b/>
          <w:sz w:val="32"/>
          <w:szCs w:val="32"/>
          <w:lang w:val="zh-CN"/>
        </w:rPr>
        <w:t>5.服</w:t>
      </w:r>
      <w:r>
        <w:rPr>
          <w:rFonts w:hint="eastAsia" w:ascii="方正仿宋_GBK" w:hAnsi="方正仿宋_GBK" w:eastAsia="方正仿宋_GBK" w:cs="方正仿宋_GBK"/>
          <w:b/>
          <w:bCs/>
          <w:sz w:val="32"/>
          <w:szCs w:val="32"/>
          <w:lang w:val="zh-CN"/>
        </w:rPr>
        <w:t>务对象满意度：</w:t>
      </w:r>
      <w:r>
        <w:rPr>
          <w:rFonts w:hint="eastAsia" w:ascii="方正仿宋_GBK" w:hAnsi="方正仿宋_GBK" w:eastAsia="方正仿宋_GBK" w:cs="方正仿宋_GBK"/>
          <w:sz w:val="32"/>
          <w:szCs w:val="32"/>
          <w:lang w:val="zh-CN"/>
        </w:rPr>
        <w:t>项目受益群众对项目实施效果表示认可。</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五、评价结论及建议</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方正楷体_GBK" w:hAnsi="方正楷体_GBK" w:eastAsia="方正楷体_GBK" w:cs="方正楷体_GBK"/>
          <w:b/>
          <w:sz w:val="32"/>
          <w:szCs w:val="32"/>
          <w:lang w:val="zh-CN"/>
        </w:rPr>
      </w:pPr>
      <w:r>
        <w:rPr>
          <w:rFonts w:hint="eastAsia" w:ascii="方正楷体_GBK" w:hAnsi="方正楷体_GBK" w:eastAsia="方正楷体_GBK" w:cs="方正楷体_GBK"/>
          <w:b/>
          <w:sz w:val="32"/>
          <w:szCs w:val="32"/>
          <w:lang w:val="zh-CN"/>
        </w:rPr>
        <w:t>（一）评价结论</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方正仿宋_GBK" w:hAnsi="方正仿宋_GBK" w:eastAsia="方正仿宋_GBK" w:cs="方正仿宋_GBK"/>
          <w:sz w:val="32"/>
          <w:szCs w:val="32"/>
          <w:lang w:val="zh-CN"/>
        </w:rPr>
      </w:pPr>
      <w:r>
        <w:rPr>
          <w:rFonts w:hint="default" w:ascii="Times New Roman" w:hAnsi="Times New Roman" w:eastAsia="方正仿宋_GBK" w:cs="Times New Roman"/>
          <w:sz w:val="32"/>
          <w:szCs w:val="32"/>
          <w:lang w:val="zh-CN"/>
        </w:rPr>
        <w:t>2024</w:t>
      </w:r>
      <w:r>
        <w:rPr>
          <w:rFonts w:hint="eastAsia" w:ascii="方正仿宋_GBK" w:hAnsi="方正仿宋_GBK" w:eastAsia="方正仿宋_GBK" w:cs="方正仿宋_GBK"/>
          <w:sz w:val="32"/>
          <w:szCs w:val="32"/>
          <w:lang w:val="zh-CN"/>
        </w:rPr>
        <w:t>年度市级少数民族发展资金项目立项依据充分，绩效目标明确合理，资金使用规范高效，项目实施管理严格有序，取得了显著的经济效益、社会效益和生态效益，服务对象满意度高。对照专项项目支出绩效评价指标体系，综合评价结果为优秀。</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方正楷体_GBK" w:hAnsi="方正楷体_GBK" w:eastAsia="方正楷体_GBK" w:cs="方正楷体_GBK"/>
          <w:b/>
          <w:sz w:val="32"/>
          <w:szCs w:val="32"/>
          <w:lang w:val="zh-CN"/>
        </w:rPr>
      </w:pPr>
      <w:r>
        <w:rPr>
          <w:rFonts w:hint="eastAsia" w:ascii="方正楷体_GBK" w:hAnsi="方正楷体_GBK" w:eastAsia="方正楷体_GBK" w:cs="方正楷体_GBK"/>
          <w:b/>
          <w:sz w:val="32"/>
          <w:szCs w:val="32"/>
          <w:lang w:val="zh-CN"/>
        </w:rPr>
        <w:t>（二）存在的问题</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方正仿宋_GBK" w:hAnsi="方正仿宋_GBK" w:eastAsia="方正仿宋_GBK" w:cs="方正仿宋_GBK"/>
          <w:sz w:val="32"/>
          <w:szCs w:val="32"/>
          <w:lang w:val="zh-CN"/>
        </w:rPr>
      </w:pPr>
      <w:r>
        <w:rPr>
          <w:rFonts w:hint="eastAsia" w:ascii="Times New Roman" w:hAnsi="Times New Roman" w:eastAsia="仿宋_GB2312" w:cs="Times New Roman"/>
          <w:b/>
          <w:sz w:val="32"/>
          <w:szCs w:val="32"/>
          <w:lang w:val="zh-CN"/>
        </w:rPr>
        <w:t>1.</w:t>
      </w:r>
      <w:r>
        <w:rPr>
          <w:rFonts w:hint="eastAsia" w:ascii="方正仿宋_GBK" w:hAnsi="方正仿宋_GBK" w:eastAsia="方正仿宋_GBK" w:cs="方正仿宋_GBK"/>
          <w:b/>
          <w:sz w:val="32"/>
          <w:szCs w:val="32"/>
          <w:lang w:val="zh-CN"/>
        </w:rPr>
        <w:t>项目前期规划不够精细：</w:t>
      </w:r>
      <w:r>
        <w:rPr>
          <w:rFonts w:hint="eastAsia" w:ascii="方正仿宋_GBK" w:hAnsi="方正仿宋_GBK" w:eastAsia="方正仿宋_GBK" w:cs="方正仿宋_GBK"/>
          <w:sz w:val="32"/>
          <w:szCs w:val="32"/>
          <w:lang w:val="zh-CN"/>
        </w:rPr>
        <w:t>部分项目在前期调研和规划阶段不够深入，导致项目实施过程中出现一些调整，影响了项目推进效率。</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方正仿宋_GBK" w:hAnsi="方正仿宋_GBK" w:eastAsia="方正仿宋_GBK" w:cs="方正仿宋_GBK"/>
          <w:sz w:val="32"/>
          <w:szCs w:val="32"/>
          <w:lang w:val="zh-CN"/>
        </w:rPr>
      </w:pPr>
      <w:r>
        <w:rPr>
          <w:rFonts w:hint="eastAsia" w:ascii="Times New Roman" w:hAnsi="Times New Roman" w:eastAsia="仿宋_GB2312" w:cs="Times New Roman"/>
          <w:b/>
          <w:sz w:val="32"/>
          <w:szCs w:val="32"/>
          <w:lang w:val="zh-CN"/>
        </w:rPr>
        <w:t>2.项</w:t>
      </w:r>
      <w:r>
        <w:rPr>
          <w:rFonts w:hint="eastAsia" w:ascii="方正仿宋_GBK" w:hAnsi="方正仿宋_GBK" w:eastAsia="方正仿宋_GBK" w:cs="方正仿宋_GBK"/>
          <w:b/>
          <w:sz w:val="32"/>
          <w:szCs w:val="32"/>
          <w:lang w:val="zh-CN"/>
        </w:rPr>
        <w:t>目后续管理有待加强：</w:t>
      </w:r>
      <w:r>
        <w:rPr>
          <w:rFonts w:hint="eastAsia" w:ascii="方正仿宋_GBK" w:hAnsi="方正仿宋_GBK" w:eastAsia="方正仿宋_GBK" w:cs="方正仿宋_GBK"/>
          <w:sz w:val="32"/>
          <w:szCs w:val="32"/>
          <w:lang w:val="zh-CN"/>
        </w:rPr>
        <w:t>部分项目在建成后，后续运营管理机制不够完善，存在重建设轻管理的现象，影响了项目长期效益的发挥。</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ascii="Times New Roman" w:hAnsi="Times New Roman" w:eastAsia="仿宋_GB2312" w:cs="Times New Roman"/>
          <w:sz w:val="32"/>
          <w:szCs w:val="32"/>
          <w:lang w:val="zh-CN"/>
        </w:rPr>
      </w:pPr>
      <w:r>
        <w:rPr>
          <w:rFonts w:hint="eastAsia" w:ascii="Times New Roman" w:hAnsi="Times New Roman" w:eastAsia="仿宋_GB2312" w:cs="Times New Roman"/>
          <w:b/>
          <w:sz w:val="32"/>
          <w:szCs w:val="32"/>
          <w:lang w:val="zh-CN"/>
        </w:rPr>
        <w:t>3.</w:t>
      </w:r>
      <w:r>
        <w:rPr>
          <w:rFonts w:hint="eastAsia" w:ascii="方正仿宋_GBK" w:hAnsi="方正仿宋_GBK" w:eastAsia="方正仿宋_GBK" w:cs="方正仿宋_GBK"/>
          <w:b/>
          <w:sz w:val="32"/>
          <w:szCs w:val="32"/>
          <w:lang w:val="zh-CN"/>
        </w:rPr>
        <w:t>资金整合力度不足</w:t>
      </w:r>
      <w:r>
        <w:rPr>
          <w:rFonts w:hint="eastAsia" w:ascii="方正仿宋_GBK" w:hAnsi="方正仿宋_GBK" w:eastAsia="方正仿宋_GBK" w:cs="方正仿宋_GBK"/>
          <w:sz w:val="32"/>
          <w:szCs w:val="32"/>
          <w:lang w:val="zh-CN"/>
        </w:rPr>
        <w:t>：少数民族发展资金与其他相关资金的整合不够，未能形成更大的资金合力，限制了项目的规模和效益。</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方正楷体_GBK" w:hAnsi="方正楷体_GBK" w:eastAsia="方正楷体_GBK" w:cs="方正楷体_GBK"/>
          <w:b/>
          <w:sz w:val="32"/>
          <w:szCs w:val="32"/>
          <w:lang w:val="zh-CN"/>
        </w:rPr>
      </w:pPr>
      <w:r>
        <w:rPr>
          <w:rFonts w:hint="eastAsia" w:ascii="方正楷体_GBK" w:hAnsi="方正楷体_GBK" w:eastAsia="方正楷体_GBK" w:cs="方正楷体_GBK"/>
          <w:b/>
          <w:sz w:val="32"/>
          <w:szCs w:val="32"/>
          <w:lang w:val="zh-CN"/>
        </w:rPr>
        <w:t>（三）相关建议</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方正仿宋_GBK" w:hAnsi="方正仿宋_GBK" w:eastAsia="方正仿宋_GBK" w:cs="方正仿宋_GBK"/>
          <w:sz w:val="32"/>
          <w:szCs w:val="32"/>
          <w:lang w:val="zh-CN"/>
        </w:rPr>
      </w:pPr>
      <w:r>
        <w:rPr>
          <w:rFonts w:hint="eastAsia" w:ascii="Times New Roman" w:hAnsi="Times New Roman" w:eastAsia="仿宋_GB2312" w:cs="Times New Roman"/>
          <w:b/>
          <w:sz w:val="32"/>
          <w:szCs w:val="32"/>
          <w:lang w:val="zh-CN"/>
        </w:rPr>
        <w:t>1.</w:t>
      </w:r>
      <w:r>
        <w:rPr>
          <w:rFonts w:hint="eastAsia" w:ascii="方正仿宋_GBK" w:hAnsi="方正仿宋_GBK" w:eastAsia="方正仿宋_GBK" w:cs="方正仿宋_GBK"/>
          <w:b/>
          <w:sz w:val="32"/>
          <w:szCs w:val="32"/>
          <w:lang w:val="zh-CN"/>
        </w:rPr>
        <w:t>加强项目前期规划：</w:t>
      </w:r>
      <w:r>
        <w:rPr>
          <w:rFonts w:hint="eastAsia" w:ascii="方正仿宋_GBK" w:hAnsi="方正仿宋_GBK" w:eastAsia="方正仿宋_GBK" w:cs="方正仿宋_GBK"/>
          <w:sz w:val="32"/>
          <w:szCs w:val="32"/>
          <w:lang w:val="zh-CN"/>
        </w:rPr>
        <w:t>在项目申报阶段，要求申报单位加强项目调研和可行性分析，科学制定项目实施方案，确保项目规划的准确性和可行性。同时，建立项目专家评审机制，对项目规划进行严格把关。</w:t>
      </w:r>
    </w:p>
    <w:p>
      <w:pPr>
        <w:keepNext w:val="0"/>
        <w:keepLines w:val="0"/>
        <w:pageBreakBefore w:val="0"/>
        <w:widowControl w:val="0"/>
        <w:kinsoku/>
        <w:wordWrap/>
        <w:overflowPunct/>
        <w:topLinePunct w:val="0"/>
        <w:autoSpaceDE/>
        <w:autoSpaceDN/>
        <w:bidi w:val="0"/>
        <w:adjustRightInd w:val="0"/>
        <w:snapToGrid/>
        <w:spacing w:line="240" w:lineRule="auto"/>
        <w:ind w:firstLine="720"/>
        <w:textAlignment w:val="auto"/>
        <w:rPr>
          <w:rFonts w:hint="eastAsia" w:ascii="方正仿宋_GBK" w:hAnsi="方正仿宋_GBK" w:eastAsia="方正仿宋_GBK" w:cs="方正仿宋_GBK"/>
          <w:sz w:val="32"/>
          <w:szCs w:val="32"/>
          <w:lang w:val="zh-CN"/>
        </w:rPr>
      </w:pPr>
      <w:r>
        <w:rPr>
          <w:rFonts w:hint="eastAsia" w:ascii="Times New Roman" w:hAnsi="Times New Roman" w:eastAsia="仿宋_GB2312" w:cs="Times New Roman"/>
          <w:b/>
          <w:sz w:val="32"/>
          <w:szCs w:val="32"/>
          <w:lang w:val="zh-CN"/>
        </w:rPr>
        <w:t>2.完</w:t>
      </w:r>
      <w:r>
        <w:rPr>
          <w:rFonts w:hint="eastAsia" w:ascii="方正仿宋_GBK" w:hAnsi="方正仿宋_GBK" w:eastAsia="方正仿宋_GBK" w:cs="方正仿宋_GBK"/>
          <w:b/>
          <w:sz w:val="32"/>
          <w:szCs w:val="32"/>
          <w:lang w:val="zh-CN"/>
        </w:rPr>
        <w:t>善项目后续管理机制：</w:t>
      </w:r>
      <w:r>
        <w:rPr>
          <w:rFonts w:hint="eastAsia" w:ascii="方正仿宋_GBK" w:hAnsi="方正仿宋_GBK" w:eastAsia="方正仿宋_GBK" w:cs="方正仿宋_GBK"/>
          <w:sz w:val="32"/>
          <w:szCs w:val="32"/>
          <w:lang w:val="zh-CN"/>
        </w:rPr>
        <w:t>制定项目后续管理办法，明确项目后续管理责任主体，建立项目运营监测和评估机制，加强对项目运营情况的跟踪和指导。鼓励引入社会力量参与项目运营管理，提高项目运营效率和效益。</w:t>
      </w:r>
    </w:p>
    <w:p>
      <w:pPr>
        <w:pStyle w:val="3"/>
        <w:keepNext w:val="0"/>
        <w:keepLines w:val="0"/>
        <w:pageBreakBefore w:val="0"/>
        <w:widowControl w:val="0"/>
        <w:kinsoku/>
        <w:wordWrap/>
        <w:overflowPunct/>
        <w:topLinePunct w:val="0"/>
        <w:bidi w:val="0"/>
        <w:adjustRightInd/>
        <w:snapToGrid/>
        <w:ind w:left="420" w:firstLine="640"/>
        <w:textAlignment w:val="auto"/>
        <w:rPr>
          <w:rFonts w:hint="eastAsia" w:eastAsia="方正仿宋简体"/>
          <w:sz w:val="32"/>
          <w:szCs w:val="32"/>
        </w:rPr>
      </w:pPr>
      <w:r>
        <w:rPr>
          <w:rFonts w:hint="eastAsia" w:ascii="Times New Roman" w:hAnsi="Times New Roman" w:eastAsia="仿宋_GB2312" w:cs="Times New Roman"/>
          <w:b/>
          <w:sz w:val="32"/>
          <w:szCs w:val="32"/>
          <w:lang w:val="zh-CN"/>
        </w:rPr>
        <w:t>3.加大</w:t>
      </w:r>
      <w:r>
        <w:rPr>
          <w:rFonts w:hint="eastAsia" w:ascii="方正仿宋_GBK" w:hAnsi="方正仿宋_GBK" w:eastAsia="方正仿宋_GBK" w:cs="方正仿宋_GBK"/>
          <w:b/>
          <w:sz w:val="32"/>
          <w:szCs w:val="32"/>
          <w:lang w:val="zh-CN"/>
        </w:rPr>
        <w:t>资金整合力度：</w:t>
      </w:r>
      <w:r>
        <w:rPr>
          <w:rFonts w:hint="eastAsia" w:ascii="方正仿宋_GBK" w:hAnsi="方正仿宋_GBK" w:eastAsia="方正仿宋_GBK" w:cs="方正仿宋_GBK"/>
          <w:sz w:val="32"/>
          <w:szCs w:val="32"/>
          <w:lang w:val="zh-CN"/>
        </w:rPr>
        <w:t>加强部门间的沟通协调，探索建立少数民族发展资金与其他相关资金的整合机制，统筹安排资金使用，集中力量支持重点项目和关键领域，提高资金使用的整体效益。</w:t>
      </w:r>
    </w:p>
    <w:p>
      <w:pPr>
        <w:pStyle w:val="2"/>
      </w:pPr>
    </w:p>
    <w:p>
      <w:pPr>
        <w:widowControl/>
        <w:adjustRightInd w:val="0"/>
        <w:snapToGrid w:val="0"/>
        <w:spacing w:line="576" w:lineRule="exact"/>
        <w:jc w:val="left"/>
        <w:rPr>
          <w:rStyle w:val="31"/>
          <w:rFonts w:hint="eastAsia" w:ascii="黑体" w:hAnsi="黑体" w:eastAsia="黑体"/>
          <w:b w:val="0"/>
        </w:rPr>
        <w:sectPr>
          <w:pgSz w:w="11906" w:h="16838"/>
          <w:pgMar w:top="1440" w:right="1800" w:bottom="1440" w:left="1800" w:header="851" w:footer="992" w:gutter="0"/>
          <w:cols w:space="425" w:num="1"/>
          <w:titlePg/>
          <w:docGrid w:type="lines" w:linePitch="312" w:charSpace="0"/>
        </w:sectPr>
      </w:pPr>
    </w:p>
    <w:p>
      <w:pPr>
        <w:pStyle w:val="5"/>
        <w:jc w:val="center"/>
        <w:rPr>
          <w:rFonts w:hint="eastAsia" w:ascii="黑体" w:hAnsi="黑体" w:eastAsia="黑体"/>
          <w:b w:val="0"/>
          <w:bCs w:val="0"/>
        </w:rPr>
      </w:pPr>
      <w:bookmarkStart w:id="93" w:name="_Toc22026"/>
      <w:bookmarkStart w:id="94" w:name="_Toc15396618"/>
      <w:r>
        <w:rPr>
          <w:rFonts w:hint="eastAsia" w:ascii="黑体" w:hAnsi="黑体" w:eastAsia="黑体"/>
          <w:b w:val="0"/>
          <w:bCs w:val="0"/>
        </w:rPr>
        <w:t>第</w:t>
      </w:r>
      <w:r>
        <w:rPr>
          <w:rStyle w:val="31"/>
          <w:rFonts w:hint="eastAsia" w:ascii="黑体" w:hAnsi="黑体" w:eastAsia="黑体"/>
          <w:b w:val="0"/>
          <w:bCs w:val="0"/>
        </w:rPr>
        <w:t>五部分 附表</w:t>
      </w:r>
      <w:bookmarkEnd w:id="86"/>
      <w:bookmarkEnd w:id="93"/>
      <w:bookmarkEnd w:id="94"/>
      <w:bookmarkStart w:id="95" w:name="_Toc15396619"/>
    </w:p>
    <w:p>
      <w:pPr>
        <w:pStyle w:val="6"/>
        <w:adjustRightInd w:val="0"/>
        <w:snapToGrid w:val="0"/>
        <w:spacing w:line="576" w:lineRule="exact"/>
        <w:rPr>
          <w:rFonts w:hint="eastAsia" w:ascii="仿宋" w:hAnsi="仿宋" w:eastAsia="仿宋"/>
        </w:rPr>
      </w:pPr>
      <w:bookmarkStart w:id="96" w:name="_Toc12352"/>
      <w:r>
        <w:rPr>
          <w:rFonts w:hint="eastAsia" w:ascii="仿宋" w:hAnsi="仿宋" w:eastAsia="仿宋"/>
          <w:b w:val="0"/>
        </w:rPr>
        <w:t>一、收</w:t>
      </w:r>
      <w:r>
        <w:rPr>
          <w:rStyle w:val="32"/>
          <w:rFonts w:hint="eastAsia" w:ascii="仿宋" w:hAnsi="仿宋" w:eastAsia="仿宋"/>
          <w:b w:val="0"/>
          <w:bCs w:val="0"/>
        </w:rPr>
        <w:t>入支出决算总表</w:t>
      </w:r>
      <w:bookmarkEnd w:id="95"/>
      <w:bookmarkEnd w:id="96"/>
    </w:p>
    <w:p>
      <w:pPr>
        <w:pStyle w:val="6"/>
        <w:adjustRightInd w:val="0"/>
        <w:snapToGrid w:val="0"/>
        <w:spacing w:line="576" w:lineRule="exact"/>
        <w:rPr>
          <w:rFonts w:hint="eastAsia" w:ascii="仿宋" w:hAnsi="仿宋" w:eastAsia="仿宋"/>
        </w:rPr>
      </w:pPr>
      <w:bookmarkStart w:id="97" w:name="_Toc15396620"/>
      <w:bookmarkStart w:id="98" w:name="_Toc4931"/>
      <w:r>
        <w:rPr>
          <w:rFonts w:hint="eastAsia" w:ascii="仿宋" w:hAnsi="仿宋" w:eastAsia="仿宋"/>
          <w:b w:val="0"/>
        </w:rPr>
        <w:t>二、收</w:t>
      </w:r>
      <w:r>
        <w:rPr>
          <w:rStyle w:val="32"/>
          <w:rFonts w:hint="eastAsia" w:ascii="仿宋" w:hAnsi="仿宋" w:eastAsia="仿宋"/>
          <w:b w:val="0"/>
          <w:bCs w:val="0"/>
        </w:rPr>
        <w:t>入决算表</w:t>
      </w:r>
      <w:bookmarkEnd w:id="97"/>
      <w:bookmarkEnd w:id="98"/>
    </w:p>
    <w:p>
      <w:pPr>
        <w:pStyle w:val="6"/>
        <w:adjustRightInd w:val="0"/>
        <w:snapToGrid w:val="0"/>
        <w:spacing w:line="576" w:lineRule="exact"/>
        <w:rPr>
          <w:rFonts w:hint="eastAsia" w:ascii="仿宋" w:hAnsi="仿宋" w:eastAsia="仿宋"/>
        </w:rPr>
      </w:pPr>
      <w:bookmarkStart w:id="99" w:name="_Toc20281"/>
      <w:bookmarkStart w:id="100" w:name="_Toc15396621"/>
      <w:r>
        <w:rPr>
          <w:rStyle w:val="32"/>
          <w:rFonts w:hint="eastAsia" w:ascii="仿宋" w:hAnsi="仿宋" w:eastAsia="仿宋"/>
          <w:b w:val="0"/>
          <w:bCs w:val="0"/>
        </w:rPr>
        <w:t>三、</w:t>
      </w:r>
      <w:r>
        <w:rPr>
          <w:rFonts w:hint="eastAsia" w:ascii="仿宋" w:hAnsi="仿宋" w:eastAsia="仿宋"/>
          <w:b w:val="0"/>
        </w:rPr>
        <w:t>支</w:t>
      </w:r>
      <w:r>
        <w:rPr>
          <w:rStyle w:val="32"/>
          <w:rFonts w:hint="eastAsia" w:ascii="仿宋" w:hAnsi="仿宋" w:eastAsia="仿宋"/>
          <w:b w:val="0"/>
          <w:bCs w:val="0"/>
        </w:rPr>
        <w:t>出决算表</w:t>
      </w:r>
      <w:bookmarkEnd w:id="99"/>
      <w:bookmarkEnd w:id="100"/>
    </w:p>
    <w:p>
      <w:pPr>
        <w:pStyle w:val="6"/>
        <w:adjustRightInd w:val="0"/>
        <w:snapToGrid w:val="0"/>
        <w:spacing w:line="576" w:lineRule="exact"/>
        <w:rPr>
          <w:rFonts w:hint="eastAsia" w:ascii="仿宋" w:hAnsi="仿宋" w:eastAsia="仿宋"/>
          <w:b w:val="0"/>
        </w:rPr>
      </w:pPr>
      <w:bookmarkStart w:id="101" w:name="_Toc15396622"/>
      <w:bookmarkStart w:id="102" w:name="_Toc32393"/>
      <w:r>
        <w:rPr>
          <w:rStyle w:val="32"/>
          <w:rFonts w:hint="eastAsia" w:ascii="仿宋" w:hAnsi="仿宋" w:eastAsia="仿宋"/>
          <w:b w:val="0"/>
          <w:bCs w:val="0"/>
        </w:rPr>
        <w:t>四、</w:t>
      </w:r>
      <w:r>
        <w:rPr>
          <w:rFonts w:hint="eastAsia" w:ascii="仿宋" w:hAnsi="仿宋" w:eastAsia="仿宋"/>
          <w:b w:val="0"/>
        </w:rPr>
        <w:t>财</w:t>
      </w:r>
      <w:r>
        <w:rPr>
          <w:rStyle w:val="32"/>
          <w:rFonts w:hint="eastAsia" w:ascii="仿宋" w:hAnsi="仿宋" w:eastAsia="仿宋"/>
          <w:b w:val="0"/>
          <w:bCs w:val="0"/>
        </w:rPr>
        <w:t>政拨款收入支出决算总表</w:t>
      </w:r>
      <w:bookmarkEnd w:id="101"/>
      <w:bookmarkEnd w:id="102"/>
    </w:p>
    <w:p>
      <w:pPr>
        <w:pStyle w:val="6"/>
        <w:adjustRightInd w:val="0"/>
        <w:snapToGrid w:val="0"/>
        <w:spacing w:line="576" w:lineRule="exact"/>
        <w:rPr>
          <w:rStyle w:val="32"/>
          <w:rFonts w:hint="eastAsia" w:ascii="仿宋" w:hAnsi="仿宋" w:eastAsia="仿宋"/>
          <w:b w:val="0"/>
          <w:bCs w:val="0"/>
        </w:rPr>
      </w:pPr>
      <w:bookmarkStart w:id="103" w:name="_Toc20591"/>
      <w:bookmarkStart w:id="104" w:name="_Toc15396623"/>
      <w:r>
        <w:rPr>
          <w:rStyle w:val="32"/>
          <w:rFonts w:hint="eastAsia" w:ascii="仿宋" w:hAnsi="仿宋" w:eastAsia="仿宋"/>
          <w:b w:val="0"/>
          <w:bCs w:val="0"/>
        </w:rPr>
        <w:t>五、</w:t>
      </w:r>
      <w:r>
        <w:rPr>
          <w:rFonts w:hint="eastAsia" w:ascii="仿宋" w:hAnsi="仿宋" w:eastAsia="仿宋"/>
          <w:b w:val="0"/>
        </w:rPr>
        <w:t>财</w:t>
      </w:r>
      <w:r>
        <w:rPr>
          <w:rStyle w:val="32"/>
          <w:rFonts w:hint="eastAsia" w:ascii="仿宋" w:hAnsi="仿宋" w:eastAsia="仿宋"/>
          <w:b w:val="0"/>
          <w:bCs w:val="0"/>
        </w:rPr>
        <w:t>政拨款支出决算明细表</w:t>
      </w:r>
      <w:bookmarkEnd w:id="103"/>
      <w:bookmarkEnd w:id="104"/>
      <w:bookmarkStart w:id="105" w:name="_Toc15396624"/>
    </w:p>
    <w:p>
      <w:pPr>
        <w:pStyle w:val="6"/>
        <w:adjustRightInd w:val="0"/>
        <w:snapToGrid w:val="0"/>
        <w:spacing w:line="576" w:lineRule="exact"/>
        <w:rPr>
          <w:rFonts w:hint="eastAsia" w:ascii="仿宋" w:hAnsi="仿宋" w:eastAsia="仿宋"/>
        </w:rPr>
      </w:pPr>
      <w:bookmarkStart w:id="106" w:name="_Toc24301"/>
      <w:r>
        <w:rPr>
          <w:rStyle w:val="32"/>
          <w:rFonts w:hint="eastAsia" w:ascii="仿宋" w:hAnsi="仿宋" w:eastAsia="仿宋"/>
          <w:b w:val="0"/>
          <w:bCs w:val="0"/>
        </w:rPr>
        <w:t>六、</w:t>
      </w:r>
      <w:r>
        <w:rPr>
          <w:rFonts w:hint="eastAsia" w:ascii="仿宋" w:hAnsi="仿宋" w:eastAsia="仿宋"/>
          <w:b w:val="0"/>
        </w:rPr>
        <w:t>一</w:t>
      </w:r>
      <w:r>
        <w:rPr>
          <w:rStyle w:val="32"/>
          <w:rFonts w:hint="eastAsia" w:ascii="仿宋" w:hAnsi="仿宋" w:eastAsia="仿宋"/>
          <w:b w:val="0"/>
          <w:bCs w:val="0"/>
        </w:rPr>
        <w:t>般公共预算财政拨款支出决算表</w:t>
      </w:r>
      <w:bookmarkEnd w:id="105"/>
      <w:bookmarkEnd w:id="106"/>
    </w:p>
    <w:p>
      <w:pPr>
        <w:pStyle w:val="6"/>
        <w:adjustRightInd w:val="0"/>
        <w:snapToGrid w:val="0"/>
        <w:spacing w:line="576" w:lineRule="exact"/>
        <w:rPr>
          <w:rFonts w:hint="eastAsia" w:ascii="仿宋" w:hAnsi="仿宋" w:eastAsia="仿宋"/>
        </w:rPr>
      </w:pPr>
      <w:bookmarkStart w:id="107" w:name="_Toc15396625"/>
      <w:bookmarkStart w:id="108" w:name="_Toc31696"/>
      <w:r>
        <w:rPr>
          <w:rStyle w:val="32"/>
          <w:rFonts w:hint="eastAsia" w:ascii="仿宋" w:hAnsi="仿宋" w:eastAsia="仿宋"/>
          <w:b w:val="0"/>
          <w:bCs w:val="0"/>
        </w:rPr>
        <w:t>七、</w:t>
      </w:r>
      <w:r>
        <w:rPr>
          <w:rFonts w:hint="eastAsia" w:ascii="仿宋" w:hAnsi="仿宋" w:eastAsia="仿宋"/>
          <w:b w:val="0"/>
        </w:rPr>
        <w:t>一</w:t>
      </w:r>
      <w:r>
        <w:rPr>
          <w:rStyle w:val="32"/>
          <w:rFonts w:hint="eastAsia" w:ascii="仿宋" w:hAnsi="仿宋" w:eastAsia="仿宋"/>
          <w:b w:val="0"/>
          <w:bCs w:val="0"/>
        </w:rPr>
        <w:t>般公共预算财政拨款支出决算明细表</w:t>
      </w:r>
      <w:bookmarkEnd w:id="107"/>
      <w:bookmarkEnd w:id="108"/>
    </w:p>
    <w:p>
      <w:pPr>
        <w:pStyle w:val="6"/>
        <w:adjustRightInd w:val="0"/>
        <w:snapToGrid w:val="0"/>
        <w:spacing w:line="576" w:lineRule="exact"/>
        <w:rPr>
          <w:rFonts w:hint="eastAsia" w:ascii="仿宋" w:hAnsi="仿宋" w:eastAsia="仿宋"/>
        </w:rPr>
      </w:pPr>
      <w:bookmarkStart w:id="109" w:name="_Toc3388"/>
      <w:bookmarkStart w:id="110" w:name="_Toc15396626"/>
      <w:r>
        <w:rPr>
          <w:rStyle w:val="32"/>
          <w:rFonts w:hint="eastAsia" w:ascii="仿宋" w:hAnsi="仿宋" w:eastAsia="仿宋"/>
          <w:b w:val="0"/>
          <w:bCs w:val="0"/>
        </w:rPr>
        <w:t>八、</w:t>
      </w:r>
      <w:r>
        <w:rPr>
          <w:rFonts w:hint="eastAsia" w:ascii="仿宋" w:hAnsi="仿宋" w:eastAsia="仿宋"/>
          <w:b w:val="0"/>
        </w:rPr>
        <w:t>一</w:t>
      </w:r>
      <w:r>
        <w:rPr>
          <w:rStyle w:val="32"/>
          <w:rFonts w:hint="eastAsia" w:ascii="仿宋" w:hAnsi="仿宋" w:eastAsia="仿宋"/>
          <w:b w:val="0"/>
          <w:bCs w:val="0"/>
        </w:rPr>
        <w:t>般公共预算财政拨款基本支出决算表</w:t>
      </w:r>
      <w:bookmarkEnd w:id="109"/>
      <w:bookmarkEnd w:id="110"/>
    </w:p>
    <w:p>
      <w:pPr>
        <w:pStyle w:val="6"/>
        <w:adjustRightInd w:val="0"/>
        <w:snapToGrid w:val="0"/>
        <w:spacing w:line="576" w:lineRule="exact"/>
        <w:rPr>
          <w:rFonts w:hint="eastAsia" w:ascii="仿宋" w:hAnsi="仿宋" w:eastAsia="仿宋"/>
        </w:rPr>
      </w:pPr>
      <w:bookmarkStart w:id="111" w:name="_Toc7468"/>
      <w:bookmarkStart w:id="112" w:name="_Toc15396627"/>
      <w:r>
        <w:rPr>
          <w:rStyle w:val="32"/>
          <w:rFonts w:hint="eastAsia" w:ascii="仿宋" w:hAnsi="仿宋" w:eastAsia="仿宋"/>
          <w:b w:val="0"/>
          <w:bCs w:val="0"/>
        </w:rPr>
        <w:t>九、</w:t>
      </w:r>
      <w:r>
        <w:rPr>
          <w:rFonts w:hint="eastAsia" w:ascii="仿宋" w:hAnsi="仿宋" w:eastAsia="仿宋"/>
          <w:b w:val="0"/>
        </w:rPr>
        <w:t>一</w:t>
      </w:r>
      <w:r>
        <w:rPr>
          <w:rStyle w:val="32"/>
          <w:rFonts w:hint="eastAsia" w:ascii="仿宋" w:hAnsi="仿宋" w:eastAsia="仿宋"/>
          <w:b w:val="0"/>
          <w:bCs w:val="0"/>
        </w:rPr>
        <w:t>般公共预算财政拨款项目支出决算表</w:t>
      </w:r>
      <w:bookmarkEnd w:id="111"/>
      <w:bookmarkEnd w:id="112"/>
    </w:p>
    <w:p>
      <w:pPr>
        <w:pStyle w:val="6"/>
        <w:adjustRightInd w:val="0"/>
        <w:snapToGrid w:val="0"/>
        <w:spacing w:line="576" w:lineRule="exact"/>
        <w:rPr>
          <w:rFonts w:hint="eastAsia" w:ascii="仿宋" w:hAnsi="仿宋" w:eastAsia="仿宋"/>
        </w:rPr>
      </w:pPr>
      <w:bookmarkStart w:id="113" w:name="_Toc15396628"/>
      <w:bookmarkStart w:id="114" w:name="_Toc27508"/>
      <w:r>
        <w:rPr>
          <w:rStyle w:val="32"/>
          <w:rFonts w:hint="eastAsia" w:ascii="仿宋" w:hAnsi="仿宋" w:eastAsia="仿宋"/>
          <w:b w:val="0"/>
          <w:bCs w:val="0"/>
        </w:rPr>
        <w:t>十、</w:t>
      </w:r>
      <w:bookmarkEnd w:id="113"/>
      <w:r>
        <w:rPr>
          <w:rFonts w:hint="eastAsia" w:ascii="仿宋" w:hAnsi="仿宋" w:eastAsia="仿宋"/>
          <w:b w:val="0"/>
        </w:rPr>
        <w:t>政</w:t>
      </w:r>
      <w:r>
        <w:rPr>
          <w:rStyle w:val="32"/>
          <w:rFonts w:hint="eastAsia" w:ascii="仿宋" w:hAnsi="仿宋" w:eastAsia="仿宋"/>
          <w:b w:val="0"/>
          <w:bCs w:val="0"/>
        </w:rPr>
        <w:t>府性基金预算财政拨款收入支出决算表</w:t>
      </w:r>
      <w:bookmarkEnd w:id="114"/>
    </w:p>
    <w:p>
      <w:pPr>
        <w:pStyle w:val="6"/>
        <w:adjustRightInd w:val="0"/>
        <w:snapToGrid w:val="0"/>
        <w:spacing w:line="576" w:lineRule="exact"/>
        <w:rPr>
          <w:rFonts w:hint="eastAsia" w:ascii="仿宋" w:hAnsi="仿宋" w:eastAsia="仿宋"/>
        </w:rPr>
      </w:pPr>
      <w:bookmarkStart w:id="115" w:name="_Toc15396629"/>
      <w:bookmarkStart w:id="116" w:name="_Toc26182"/>
      <w:r>
        <w:rPr>
          <w:rStyle w:val="32"/>
          <w:rFonts w:hint="eastAsia" w:ascii="仿宋" w:hAnsi="仿宋" w:eastAsia="仿宋"/>
          <w:b w:val="0"/>
          <w:bCs w:val="0"/>
        </w:rPr>
        <w:t>十一、</w:t>
      </w:r>
      <w:bookmarkEnd w:id="115"/>
      <w:r>
        <w:rPr>
          <w:rFonts w:hint="eastAsia" w:ascii="仿宋" w:hAnsi="仿宋" w:eastAsia="仿宋"/>
          <w:b w:val="0"/>
        </w:rPr>
        <w:t>国</w:t>
      </w:r>
      <w:r>
        <w:rPr>
          <w:rStyle w:val="32"/>
          <w:rFonts w:hint="eastAsia" w:ascii="仿宋" w:hAnsi="仿宋" w:eastAsia="仿宋"/>
          <w:b w:val="0"/>
          <w:bCs w:val="0"/>
        </w:rPr>
        <w:t>有资本经营预算财政拨款收入支出决算表</w:t>
      </w:r>
      <w:bookmarkEnd w:id="116"/>
    </w:p>
    <w:p>
      <w:pPr>
        <w:pStyle w:val="6"/>
        <w:adjustRightInd w:val="0"/>
        <w:snapToGrid w:val="0"/>
        <w:spacing w:line="576" w:lineRule="exact"/>
        <w:rPr>
          <w:rFonts w:hint="eastAsia" w:ascii="仿宋" w:hAnsi="仿宋" w:eastAsia="仿宋"/>
        </w:rPr>
      </w:pPr>
      <w:bookmarkStart w:id="117" w:name="_Toc15396630"/>
      <w:bookmarkStart w:id="118" w:name="_Toc25856"/>
      <w:r>
        <w:rPr>
          <w:rStyle w:val="32"/>
          <w:rFonts w:hint="eastAsia" w:ascii="仿宋" w:hAnsi="仿宋" w:eastAsia="仿宋"/>
          <w:b w:val="0"/>
          <w:bCs w:val="0"/>
        </w:rPr>
        <w:t>十二、</w:t>
      </w:r>
      <w:bookmarkEnd w:id="117"/>
      <w:r>
        <w:rPr>
          <w:rStyle w:val="32"/>
          <w:rFonts w:hint="eastAsia" w:ascii="仿宋" w:hAnsi="仿宋" w:eastAsia="仿宋"/>
          <w:b w:val="0"/>
          <w:bCs w:val="0"/>
        </w:rPr>
        <w:t>国有资本经营预算财政拨款支出决算表</w:t>
      </w:r>
      <w:bookmarkEnd w:id="118"/>
    </w:p>
    <w:p>
      <w:pPr>
        <w:pStyle w:val="6"/>
        <w:adjustRightInd w:val="0"/>
        <w:snapToGrid w:val="0"/>
        <w:spacing w:line="576" w:lineRule="exact"/>
        <w:rPr>
          <w:rFonts w:eastAsia="仿宋"/>
        </w:rPr>
      </w:pPr>
      <w:bookmarkStart w:id="119" w:name="_Toc15396631"/>
      <w:bookmarkStart w:id="120" w:name="_Toc31408"/>
      <w:r>
        <w:rPr>
          <w:rStyle w:val="32"/>
          <w:rFonts w:hint="eastAsia" w:ascii="仿宋" w:hAnsi="仿宋" w:eastAsia="仿宋"/>
          <w:b w:val="0"/>
          <w:bCs w:val="0"/>
        </w:rPr>
        <w:t>十三、</w:t>
      </w:r>
      <w:bookmarkEnd w:id="119"/>
      <w:r>
        <w:rPr>
          <w:rStyle w:val="32"/>
          <w:rFonts w:hint="eastAsia" w:ascii="仿宋" w:hAnsi="仿宋" w:eastAsia="仿宋"/>
          <w:b w:val="0"/>
          <w:bCs w:val="0"/>
        </w:rPr>
        <w:t>财政拨款“三公”经费支出决算表</w:t>
      </w:r>
      <w:bookmarkEnd w:id="120"/>
    </w:p>
    <w:sectPr>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仿宋"/>
    <w:panose1 w:val="00000000000000000000"/>
    <w:charset w:val="00"/>
    <w:family w:val="roman"/>
    <w:pitch w:val="default"/>
    <w:sig w:usb0="00000000" w:usb1="00000000" w:usb2="00000000" w:usb3="00000000" w:csb0="00000000" w:csb1="00000000"/>
  </w:font>
  <w:font w:name="等线">
    <w:altName w:val="华文仿宋"/>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A0F3C52" w:usb2="00000016" w:usb3="00000000" w:csb0="0004001F" w:csb1="00000000"/>
  </w:font>
  <w:font w:name="Helvetica Neue">
    <w:altName w:val="华文仿宋"/>
    <w:panose1 w:val="00000000000000000000"/>
    <w:charset w:val="00"/>
    <w:family w:val="auto"/>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方正小标宋简体">
    <w:panose1 w:val="02000000000000000000"/>
    <w:charset w:val="86"/>
    <w:family w:val="auto"/>
    <w:pitch w:val="default"/>
    <w:sig w:usb0="A00002BF" w:usb1="184F6CFA"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简体">
    <w:altName w:val="方正仿宋_GBK"/>
    <w:panose1 w:val="03000509000000000000"/>
    <w:charset w:val="86"/>
    <w:family w:val="auto"/>
    <w:pitch w:val="default"/>
    <w:sig w:usb0="00000000" w:usb1="00000000" w:usb2="00000000" w:usb3="00000000" w:csb0="00040000" w:csb1="00000000"/>
  </w:font>
  <w:font w:name="Times New RomanBK">
    <w:altName w:val="Nimbus Roman No9 L"/>
    <w:panose1 w:val="00000000000000000000"/>
    <w:charset w:val="00"/>
    <w:family w:val="auto"/>
    <w:pitch w:val="default"/>
    <w:sig w:usb0="00000000" w:usb1="00000000" w:usb2="00000000" w:usb3="00000000" w:csb0="00040001" w:csb1="00000000"/>
  </w:font>
  <w:font w:name="微软简标宋">
    <w:altName w:val="方正书宋_GBK"/>
    <w:panose1 w:val="00000000000000000000"/>
    <w:charset w:val="00"/>
    <w:family w:val="auto"/>
    <w:pitch w:val="default"/>
    <w:sig w:usb0="00000000" w:usb1="00000000" w:usb2="00000000" w:usb3="00000000" w:csb0="00040001" w:csb1="00000000"/>
  </w:font>
  <w:font w:name="Segoe UI">
    <w:panose1 w:val="020B0502040204020203"/>
    <w:charset w:val="00"/>
    <w:family w:val="swiss"/>
    <w:pitch w:val="default"/>
    <w:sig w:usb0="E00022FF" w:usb1="C000205B" w:usb2="00000009" w:usb3="00000000" w:csb0="200001DF" w:csb1="20080000"/>
  </w:font>
  <w:font w:name="Batang">
    <w:panose1 w:val="02030600000101010101"/>
    <w:charset w:val="81"/>
    <w:family w:val="auto"/>
    <w:pitch w:val="default"/>
    <w:sig w:usb0="B00002AF" w:usb1="69D77CFB" w:usb2="00000030" w:usb3="00000000" w:csb0="4008009F" w:csb1="DFD70000"/>
  </w:font>
  <w:font w:name="华文仿宋">
    <w:panose1 w:val="02010600040101010101"/>
    <w:charset w:val="86"/>
    <w:family w:val="auto"/>
    <w:pitch w:val="default"/>
    <w:sig w:usb0="00000287" w:usb1="080F0000" w:usb2="00000000" w:usb3="00000000" w:csb0="0004009F" w:csb1="DFD70000"/>
  </w:font>
  <w:font w:name="Nimbus Roman No9 L">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2"/>
          <w:jc w:val="center"/>
        </w:pPr>
        <w:r>
          <w:fldChar w:fldCharType="begin"/>
        </w:r>
        <w:r>
          <w:instrText xml:space="preserve">PAGE   \* MERGEFORMAT</w:instrText>
        </w:r>
        <w:r>
          <w:fldChar w:fldCharType="separate"/>
        </w:r>
        <w:r>
          <w:rPr>
            <w:lang w:val="zh-CN"/>
          </w:rPr>
          <w:t>16</w:t>
        </w:r>
        <w:r>
          <w:rPr>
            <w:lang w:val="zh-CN"/>
          </w:rPr>
          <w:fldChar w:fldCharType="end"/>
        </w:r>
      </w:p>
    </w:sdtContent>
  </w:sdt>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PAGE   \* MERGEFORMAT</w:instrText>
    </w:r>
    <w:r>
      <w:fldChar w:fldCharType="separate"/>
    </w:r>
    <w:r>
      <w:rPr>
        <w:lang w:val="zh-CN"/>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rPr>
    </w:lvl>
  </w:abstractNum>
  <w:abstractNum w:abstractNumId="1">
    <w:nsid w:val="FF5E2C4B"/>
    <w:multiLevelType w:val="singleLevel"/>
    <w:tmpl w:val="FF5E2C4B"/>
    <w:lvl w:ilvl="0" w:tentative="0">
      <w:start w:val="2"/>
      <w:numFmt w:val="decimal"/>
      <w:suff w:val="nothing"/>
      <w:lvlText w:val="（%1）"/>
      <w:lvlJc w:val="left"/>
    </w:lvl>
  </w:abstractNum>
  <w:abstractNum w:abstractNumId="2">
    <w:nsid w:val="3FCA64BB"/>
    <w:multiLevelType w:val="singleLevel"/>
    <w:tmpl w:val="3FCA64BB"/>
    <w:lvl w:ilvl="0" w:tentative="0">
      <w:start w:val="1"/>
      <w:numFmt w:val="chineseCounting"/>
      <w:suff w:val="nothing"/>
      <w:lvlText w:val="（%1）"/>
      <w:lvlJc w:val="left"/>
      <w:rPr>
        <w:rFonts w:hint="eastAsia"/>
      </w:rPr>
    </w:lvl>
  </w:abstractNum>
  <w:abstractNum w:abstractNumId="3">
    <w:nsid w:val="557E5F04"/>
    <w:multiLevelType w:val="singleLevel"/>
    <w:tmpl w:val="557E5F04"/>
    <w:lvl w:ilvl="0" w:tentative="0">
      <w:start w:val="3"/>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0N2QyZDc0YjU4MmU0NmM2ZjAyOWQ4YzFmZDQxNjkifQ=="/>
  </w:docVars>
  <w:rsids>
    <w:rsidRoot w:val="00F1361C"/>
    <w:rsid w:val="0000210A"/>
    <w:rsid w:val="00015D77"/>
    <w:rsid w:val="000222C6"/>
    <w:rsid w:val="0002549F"/>
    <w:rsid w:val="00030FED"/>
    <w:rsid w:val="000468DB"/>
    <w:rsid w:val="0006487A"/>
    <w:rsid w:val="00065F8F"/>
    <w:rsid w:val="00070A43"/>
    <w:rsid w:val="00073053"/>
    <w:rsid w:val="000768F2"/>
    <w:rsid w:val="0009184B"/>
    <w:rsid w:val="00094236"/>
    <w:rsid w:val="0009593C"/>
    <w:rsid w:val="00097322"/>
    <w:rsid w:val="000A2378"/>
    <w:rsid w:val="000A6A92"/>
    <w:rsid w:val="000B047F"/>
    <w:rsid w:val="000B5923"/>
    <w:rsid w:val="000B5A48"/>
    <w:rsid w:val="000B6FF3"/>
    <w:rsid w:val="000C3467"/>
    <w:rsid w:val="000C3CA6"/>
    <w:rsid w:val="000D1267"/>
    <w:rsid w:val="000D1D50"/>
    <w:rsid w:val="000D5782"/>
    <w:rsid w:val="000E6613"/>
    <w:rsid w:val="000E7119"/>
    <w:rsid w:val="000F70CA"/>
    <w:rsid w:val="000F74C5"/>
    <w:rsid w:val="00114E9B"/>
    <w:rsid w:val="00136D0C"/>
    <w:rsid w:val="00142216"/>
    <w:rsid w:val="00144D6A"/>
    <w:rsid w:val="0014729F"/>
    <w:rsid w:val="00157BAB"/>
    <w:rsid w:val="001654D1"/>
    <w:rsid w:val="00174518"/>
    <w:rsid w:val="0018106D"/>
    <w:rsid w:val="001877A7"/>
    <w:rsid w:val="00191536"/>
    <w:rsid w:val="00196687"/>
    <w:rsid w:val="001A6990"/>
    <w:rsid w:val="001B0D5C"/>
    <w:rsid w:val="001C0962"/>
    <w:rsid w:val="001D7531"/>
    <w:rsid w:val="001E2FF1"/>
    <w:rsid w:val="001E737D"/>
    <w:rsid w:val="001F0592"/>
    <w:rsid w:val="001F7506"/>
    <w:rsid w:val="002006CD"/>
    <w:rsid w:val="00202B36"/>
    <w:rsid w:val="00204B7A"/>
    <w:rsid w:val="00204CDE"/>
    <w:rsid w:val="0021101A"/>
    <w:rsid w:val="00213534"/>
    <w:rsid w:val="002158F2"/>
    <w:rsid w:val="00217081"/>
    <w:rsid w:val="00220536"/>
    <w:rsid w:val="00235629"/>
    <w:rsid w:val="00247B82"/>
    <w:rsid w:val="00260C38"/>
    <w:rsid w:val="002616C0"/>
    <w:rsid w:val="00265372"/>
    <w:rsid w:val="00265FF8"/>
    <w:rsid w:val="002662AA"/>
    <w:rsid w:val="00280496"/>
    <w:rsid w:val="00294DC9"/>
    <w:rsid w:val="00295495"/>
    <w:rsid w:val="002A05D8"/>
    <w:rsid w:val="002A31DE"/>
    <w:rsid w:val="002B2613"/>
    <w:rsid w:val="002D5241"/>
    <w:rsid w:val="002D6D05"/>
    <w:rsid w:val="002E65CD"/>
    <w:rsid w:val="002F1818"/>
    <w:rsid w:val="002F567B"/>
    <w:rsid w:val="003216A9"/>
    <w:rsid w:val="00335A74"/>
    <w:rsid w:val="00342E0A"/>
    <w:rsid w:val="00347C91"/>
    <w:rsid w:val="0036561B"/>
    <w:rsid w:val="00367CB7"/>
    <w:rsid w:val="0037013F"/>
    <w:rsid w:val="00370ED6"/>
    <w:rsid w:val="00380C92"/>
    <w:rsid w:val="003A484F"/>
    <w:rsid w:val="003A4883"/>
    <w:rsid w:val="003B0BE0"/>
    <w:rsid w:val="003B0C1B"/>
    <w:rsid w:val="003B1BA6"/>
    <w:rsid w:val="003B688C"/>
    <w:rsid w:val="003C0291"/>
    <w:rsid w:val="003C39AE"/>
    <w:rsid w:val="003C7B60"/>
    <w:rsid w:val="003D0C0F"/>
    <w:rsid w:val="003D1FB2"/>
    <w:rsid w:val="003D66DA"/>
    <w:rsid w:val="003E1310"/>
    <w:rsid w:val="003E6F55"/>
    <w:rsid w:val="00402FD9"/>
    <w:rsid w:val="00406254"/>
    <w:rsid w:val="004223DE"/>
    <w:rsid w:val="004249F2"/>
    <w:rsid w:val="00434489"/>
    <w:rsid w:val="00437085"/>
    <w:rsid w:val="00443880"/>
    <w:rsid w:val="004450C8"/>
    <w:rsid w:val="004464F4"/>
    <w:rsid w:val="00446E63"/>
    <w:rsid w:val="00467094"/>
    <w:rsid w:val="00471401"/>
    <w:rsid w:val="00473F31"/>
    <w:rsid w:val="0048263A"/>
    <w:rsid w:val="00487E5D"/>
    <w:rsid w:val="00490C69"/>
    <w:rsid w:val="004A68A4"/>
    <w:rsid w:val="004A711F"/>
    <w:rsid w:val="004B199D"/>
    <w:rsid w:val="004B4690"/>
    <w:rsid w:val="004B4BB0"/>
    <w:rsid w:val="004E0A2D"/>
    <w:rsid w:val="004E206B"/>
    <w:rsid w:val="004E6DF7"/>
    <w:rsid w:val="004F0FBD"/>
    <w:rsid w:val="00503E9C"/>
    <w:rsid w:val="00505A47"/>
    <w:rsid w:val="00512FDA"/>
    <w:rsid w:val="00517995"/>
    <w:rsid w:val="00520DA0"/>
    <w:rsid w:val="00525E15"/>
    <w:rsid w:val="00552662"/>
    <w:rsid w:val="00555585"/>
    <w:rsid w:val="005664BB"/>
    <w:rsid w:val="00566FFA"/>
    <w:rsid w:val="0057481D"/>
    <w:rsid w:val="0058486E"/>
    <w:rsid w:val="00585B33"/>
    <w:rsid w:val="00587F2C"/>
    <w:rsid w:val="0059014D"/>
    <w:rsid w:val="005A0281"/>
    <w:rsid w:val="005B5C64"/>
    <w:rsid w:val="005B67C6"/>
    <w:rsid w:val="005C5337"/>
    <w:rsid w:val="005C6BD0"/>
    <w:rsid w:val="005D1C8B"/>
    <w:rsid w:val="005D468D"/>
    <w:rsid w:val="005D5CED"/>
    <w:rsid w:val="005D7D8C"/>
    <w:rsid w:val="005E19DF"/>
    <w:rsid w:val="005E2A32"/>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280B"/>
    <w:rsid w:val="006748A4"/>
    <w:rsid w:val="00681A31"/>
    <w:rsid w:val="00683E73"/>
    <w:rsid w:val="006A3141"/>
    <w:rsid w:val="006A5E34"/>
    <w:rsid w:val="006B2422"/>
    <w:rsid w:val="006B2B9A"/>
    <w:rsid w:val="006B7C1C"/>
    <w:rsid w:val="006C1937"/>
    <w:rsid w:val="006F020C"/>
    <w:rsid w:val="006F1D0A"/>
    <w:rsid w:val="007127B7"/>
    <w:rsid w:val="0071798E"/>
    <w:rsid w:val="00717E61"/>
    <w:rsid w:val="00724BEF"/>
    <w:rsid w:val="007416B6"/>
    <w:rsid w:val="00745AEE"/>
    <w:rsid w:val="00746F48"/>
    <w:rsid w:val="0075404D"/>
    <w:rsid w:val="0076182A"/>
    <w:rsid w:val="00767B7E"/>
    <w:rsid w:val="007733F8"/>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5FBC"/>
    <w:rsid w:val="00871F71"/>
    <w:rsid w:val="00872B26"/>
    <w:rsid w:val="00872FD8"/>
    <w:rsid w:val="00885AF4"/>
    <w:rsid w:val="008939CD"/>
    <w:rsid w:val="008B768C"/>
    <w:rsid w:val="008C4DB1"/>
    <w:rsid w:val="008C4EAF"/>
    <w:rsid w:val="008C5176"/>
    <w:rsid w:val="008C7EE4"/>
    <w:rsid w:val="008C7FD0"/>
    <w:rsid w:val="008E1000"/>
    <w:rsid w:val="008E1DE7"/>
    <w:rsid w:val="008E707C"/>
    <w:rsid w:val="008F1E49"/>
    <w:rsid w:val="00900B08"/>
    <w:rsid w:val="00902155"/>
    <w:rsid w:val="00902FA3"/>
    <w:rsid w:val="00923564"/>
    <w:rsid w:val="0092392E"/>
    <w:rsid w:val="009315F9"/>
    <w:rsid w:val="00933499"/>
    <w:rsid w:val="00935C98"/>
    <w:rsid w:val="00943DCE"/>
    <w:rsid w:val="00946945"/>
    <w:rsid w:val="00951248"/>
    <w:rsid w:val="0095152F"/>
    <w:rsid w:val="00952F43"/>
    <w:rsid w:val="00954C49"/>
    <w:rsid w:val="00955E37"/>
    <w:rsid w:val="0097099F"/>
    <w:rsid w:val="00971997"/>
    <w:rsid w:val="00971FFC"/>
    <w:rsid w:val="0098660A"/>
    <w:rsid w:val="009931C3"/>
    <w:rsid w:val="009A60EF"/>
    <w:rsid w:val="009A78E6"/>
    <w:rsid w:val="009B208E"/>
    <w:rsid w:val="009B2C43"/>
    <w:rsid w:val="009B4EAE"/>
    <w:rsid w:val="009B7536"/>
    <w:rsid w:val="009B7573"/>
    <w:rsid w:val="009C22F4"/>
    <w:rsid w:val="009C2A4B"/>
    <w:rsid w:val="009C2E98"/>
    <w:rsid w:val="009D3447"/>
    <w:rsid w:val="009D4711"/>
    <w:rsid w:val="009E4DB6"/>
    <w:rsid w:val="009E7709"/>
    <w:rsid w:val="009F1185"/>
    <w:rsid w:val="009F18CD"/>
    <w:rsid w:val="009F2A13"/>
    <w:rsid w:val="009F5540"/>
    <w:rsid w:val="009F7527"/>
    <w:rsid w:val="00A04EB0"/>
    <w:rsid w:val="00A13CC1"/>
    <w:rsid w:val="00A16847"/>
    <w:rsid w:val="00A237D8"/>
    <w:rsid w:val="00A268C4"/>
    <w:rsid w:val="00A307CD"/>
    <w:rsid w:val="00A331C8"/>
    <w:rsid w:val="00A40A00"/>
    <w:rsid w:val="00A4142F"/>
    <w:rsid w:val="00A422EB"/>
    <w:rsid w:val="00A44AC1"/>
    <w:rsid w:val="00A45BB7"/>
    <w:rsid w:val="00A51AFA"/>
    <w:rsid w:val="00A56DF2"/>
    <w:rsid w:val="00A56E6E"/>
    <w:rsid w:val="00A57562"/>
    <w:rsid w:val="00A6018A"/>
    <w:rsid w:val="00A67AB5"/>
    <w:rsid w:val="00A733B2"/>
    <w:rsid w:val="00A741C2"/>
    <w:rsid w:val="00A91760"/>
    <w:rsid w:val="00A93B00"/>
    <w:rsid w:val="00A93C21"/>
    <w:rsid w:val="00AB507F"/>
    <w:rsid w:val="00AB64C9"/>
    <w:rsid w:val="00AC3C6A"/>
    <w:rsid w:val="00AD5620"/>
    <w:rsid w:val="00AD656B"/>
    <w:rsid w:val="00AD7C1B"/>
    <w:rsid w:val="00AE16BA"/>
    <w:rsid w:val="00AE1EBE"/>
    <w:rsid w:val="00AF0A50"/>
    <w:rsid w:val="00B03C9D"/>
    <w:rsid w:val="00B060AE"/>
    <w:rsid w:val="00B079B4"/>
    <w:rsid w:val="00B10517"/>
    <w:rsid w:val="00B14E76"/>
    <w:rsid w:val="00B161B8"/>
    <w:rsid w:val="00B2048C"/>
    <w:rsid w:val="00B310B9"/>
    <w:rsid w:val="00B35F3F"/>
    <w:rsid w:val="00B36CBB"/>
    <w:rsid w:val="00B425E0"/>
    <w:rsid w:val="00B440AA"/>
    <w:rsid w:val="00B44B70"/>
    <w:rsid w:val="00B53C56"/>
    <w:rsid w:val="00B57DAF"/>
    <w:rsid w:val="00B77EA6"/>
    <w:rsid w:val="00B80BBC"/>
    <w:rsid w:val="00B81408"/>
    <w:rsid w:val="00B81598"/>
    <w:rsid w:val="00B817BE"/>
    <w:rsid w:val="00B841F1"/>
    <w:rsid w:val="00B944D6"/>
    <w:rsid w:val="00BB118C"/>
    <w:rsid w:val="00BB360C"/>
    <w:rsid w:val="00BB4DF0"/>
    <w:rsid w:val="00BC289F"/>
    <w:rsid w:val="00BC2D50"/>
    <w:rsid w:val="00BC5361"/>
    <w:rsid w:val="00BC5460"/>
    <w:rsid w:val="00BC6B50"/>
    <w:rsid w:val="00BD0E25"/>
    <w:rsid w:val="00BD30C1"/>
    <w:rsid w:val="00BF1D7C"/>
    <w:rsid w:val="00BF5BD6"/>
    <w:rsid w:val="00C03E31"/>
    <w:rsid w:val="00C11448"/>
    <w:rsid w:val="00C20E15"/>
    <w:rsid w:val="00C33E72"/>
    <w:rsid w:val="00C354B2"/>
    <w:rsid w:val="00C35554"/>
    <w:rsid w:val="00C42709"/>
    <w:rsid w:val="00C52575"/>
    <w:rsid w:val="00C533CC"/>
    <w:rsid w:val="00C5420D"/>
    <w:rsid w:val="00C5751C"/>
    <w:rsid w:val="00C61BFC"/>
    <w:rsid w:val="00C62B85"/>
    <w:rsid w:val="00C65438"/>
    <w:rsid w:val="00C87FD8"/>
    <w:rsid w:val="00C91381"/>
    <w:rsid w:val="00C91CBB"/>
    <w:rsid w:val="00CB41A2"/>
    <w:rsid w:val="00CB4E70"/>
    <w:rsid w:val="00CB5ECC"/>
    <w:rsid w:val="00CC09B6"/>
    <w:rsid w:val="00CC666F"/>
    <w:rsid w:val="00CC6BAC"/>
    <w:rsid w:val="00CD1E3F"/>
    <w:rsid w:val="00CE44F6"/>
    <w:rsid w:val="00CE49DA"/>
    <w:rsid w:val="00CE7B61"/>
    <w:rsid w:val="00D00095"/>
    <w:rsid w:val="00D0568D"/>
    <w:rsid w:val="00D114F0"/>
    <w:rsid w:val="00D20620"/>
    <w:rsid w:val="00D254F7"/>
    <w:rsid w:val="00D26091"/>
    <w:rsid w:val="00D2685C"/>
    <w:rsid w:val="00D34E7C"/>
    <w:rsid w:val="00D34F17"/>
    <w:rsid w:val="00D35489"/>
    <w:rsid w:val="00D36AFE"/>
    <w:rsid w:val="00D51276"/>
    <w:rsid w:val="00D7035F"/>
    <w:rsid w:val="00DA634F"/>
    <w:rsid w:val="00DA65AC"/>
    <w:rsid w:val="00DB1913"/>
    <w:rsid w:val="00DC410D"/>
    <w:rsid w:val="00DC4B63"/>
    <w:rsid w:val="00DC5A81"/>
    <w:rsid w:val="00DC68CA"/>
    <w:rsid w:val="00DC7CBA"/>
    <w:rsid w:val="00DD73B7"/>
    <w:rsid w:val="00DF06E2"/>
    <w:rsid w:val="00DF28BC"/>
    <w:rsid w:val="00DF34B9"/>
    <w:rsid w:val="00E01053"/>
    <w:rsid w:val="00E07ACF"/>
    <w:rsid w:val="00E22135"/>
    <w:rsid w:val="00E331A1"/>
    <w:rsid w:val="00E33202"/>
    <w:rsid w:val="00E336A9"/>
    <w:rsid w:val="00E472B1"/>
    <w:rsid w:val="00E50624"/>
    <w:rsid w:val="00E5285B"/>
    <w:rsid w:val="00E568DF"/>
    <w:rsid w:val="00E64269"/>
    <w:rsid w:val="00E82267"/>
    <w:rsid w:val="00E826A9"/>
    <w:rsid w:val="00E853CE"/>
    <w:rsid w:val="00E867B6"/>
    <w:rsid w:val="00EA010F"/>
    <w:rsid w:val="00ED1722"/>
    <w:rsid w:val="00ED1B63"/>
    <w:rsid w:val="00ED3C1F"/>
    <w:rsid w:val="00ED4085"/>
    <w:rsid w:val="00ED420E"/>
    <w:rsid w:val="00ED6FBE"/>
    <w:rsid w:val="00EE2F57"/>
    <w:rsid w:val="00EF39C0"/>
    <w:rsid w:val="00EF4C34"/>
    <w:rsid w:val="00EF77C6"/>
    <w:rsid w:val="00F05438"/>
    <w:rsid w:val="00F1361C"/>
    <w:rsid w:val="00F156F0"/>
    <w:rsid w:val="00F160C7"/>
    <w:rsid w:val="00F2408F"/>
    <w:rsid w:val="00F240E9"/>
    <w:rsid w:val="00F34AD5"/>
    <w:rsid w:val="00F36D8F"/>
    <w:rsid w:val="00F417B1"/>
    <w:rsid w:val="00F45853"/>
    <w:rsid w:val="00F56A0C"/>
    <w:rsid w:val="00F602DF"/>
    <w:rsid w:val="00F754A1"/>
    <w:rsid w:val="00F81FD9"/>
    <w:rsid w:val="00F841AA"/>
    <w:rsid w:val="00F84A94"/>
    <w:rsid w:val="00F87E96"/>
    <w:rsid w:val="00FA23E8"/>
    <w:rsid w:val="00FA2E24"/>
    <w:rsid w:val="00FD3CC1"/>
    <w:rsid w:val="00FF1E02"/>
    <w:rsid w:val="00FF30B4"/>
    <w:rsid w:val="01482F35"/>
    <w:rsid w:val="015975B8"/>
    <w:rsid w:val="0166481E"/>
    <w:rsid w:val="01DF2ACD"/>
    <w:rsid w:val="02143E91"/>
    <w:rsid w:val="04EA6EA9"/>
    <w:rsid w:val="05267175"/>
    <w:rsid w:val="05490662"/>
    <w:rsid w:val="05F504C5"/>
    <w:rsid w:val="066E0107"/>
    <w:rsid w:val="06D20EAF"/>
    <w:rsid w:val="07996F6E"/>
    <w:rsid w:val="089569CA"/>
    <w:rsid w:val="09517F1F"/>
    <w:rsid w:val="0A2032A3"/>
    <w:rsid w:val="0AC561A5"/>
    <w:rsid w:val="0AD9089D"/>
    <w:rsid w:val="0B0B09BE"/>
    <w:rsid w:val="0D9220F5"/>
    <w:rsid w:val="0D9A438D"/>
    <w:rsid w:val="0DDA013B"/>
    <w:rsid w:val="0F98263C"/>
    <w:rsid w:val="101860EC"/>
    <w:rsid w:val="108550A9"/>
    <w:rsid w:val="10C055FF"/>
    <w:rsid w:val="118107EC"/>
    <w:rsid w:val="13D50BC4"/>
    <w:rsid w:val="13DF788E"/>
    <w:rsid w:val="13F0151D"/>
    <w:rsid w:val="14201CC6"/>
    <w:rsid w:val="15664405"/>
    <w:rsid w:val="166F3898"/>
    <w:rsid w:val="16BB723D"/>
    <w:rsid w:val="18DD799C"/>
    <w:rsid w:val="191C57C6"/>
    <w:rsid w:val="1AA629B3"/>
    <w:rsid w:val="1B1775FD"/>
    <w:rsid w:val="1BE8440E"/>
    <w:rsid w:val="1D155CEE"/>
    <w:rsid w:val="1E976FFB"/>
    <w:rsid w:val="1FF35744"/>
    <w:rsid w:val="20976E37"/>
    <w:rsid w:val="20C95D0A"/>
    <w:rsid w:val="21E93837"/>
    <w:rsid w:val="222A3FB3"/>
    <w:rsid w:val="23860B96"/>
    <w:rsid w:val="23A45B19"/>
    <w:rsid w:val="240371BF"/>
    <w:rsid w:val="249A53EE"/>
    <w:rsid w:val="25AF5D69"/>
    <w:rsid w:val="25BB7A60"/>
    <w:rsid w:val="25C327DD"/>
    <w:rsid w:val="27820890"/>
    <w:rsid w:val="27D37BD0"/>
    <w:rsid w:val="28B312A3"/>
    <w:rsid w:val="28C20BAF"/>
    <w:rsid w:val="29135156"/>
    <w:rsid w:val="29FD04D3"/>
    <w:rsid w:val="2C2D3932"/>
    <w:rsid w:val="2C8A61B5"/>
    <w:rsid w:val="2C950F46"/>
    <w:rsid w:val="2D7C7C93"/>
    <w:rsid w:val="2DF04E50"/>
    <w:rsid w:val="2EAE2A36"/>
    <w:rsid w:val="2EB46B02"/>
    <w:rsid w:val="2F040D46"/>
    <w:rsid w:val="2F0F18CB"/>
    <w:rsid w:val="2FE30A93"/>
    <w:rsid w:val="31416041"/>
    <w:rsid w:val="319F7F4E"/>
    <w:rsid w:val="32295965"/>
    <w:rsid w:val="324412B4"/>
    <w:rsid w:val="327D7F3B"/>
    <w:rsid w:val="3304709D"/>
    <w:rsid w:val="33D71FCC"/>
    <w:rsid w:val="34193D8C"/>
    <w:rsid w:val="3453374F"/>
    <w:rsid w:val="357B5B0B"/>
    <w:rsid w:val="36AA5135"/>
    <w:rsid w:val="36B03254"/>
    <w:rsid w:val="36B86B92"/>
    <w:rsid w:val="36F402F3"/>
    <w:rsid w:val="376D39B2"/>
    <w:rsid w:val="37E16F03"/>
    <w:rsid w:val="38291A0F"/>
    <w:rsid w:val="389E74BC"/>
    <w:rsid w:val="38D469F0"/>
    <w:rsid w:val="3AE46F35"/>
    <w:rsid w:val="3B5A4DE4"/>
    <w:rsid w:val="3C696000"/>
    <w:rsid w:val="3D98207C"/>
    <w:rsid w:val="3E78745D"/>
    <w:rsid w:val="3F147718"/>
    <w:rsid w:val="41E336B7"/>
    <w:rsid w:val="41E4078C"/>
    <w:rsid w:val="43077410"/>
    <w:rsid w:val="430A5CF0"/>
    <w:rsid w:val="43CB31A3"/>
    <w:rsid w:val="44E268DA"/>
    <w:rsid w:val="44EC72F4"/>
    <w:rsid w:val="45EE5110"/>
    <w:rsid w:val="46A66C38"/>
    <w:rsid w:val="480C7C71"/>
    <w:rsid w:val="484E5E5E"/>
    <w:rsid w:val="48B24C6A"/>
    <w:rsid w:val="492333BC"/>
    <w:rsid w:val="497044A5"/>
    <w:rsid w:val="49B64BB4"/>
    <w:rsid w:val="4A627F82"/>
    <w:rsid w:val="4B0E749A"/>
    <w:rsid w:val="4B2F2E28"/>
    <w:rsid w:val="4B4F25DA"/>
    <w:rsid w:val="4BE068DB"/>
    <w:rsid w:val="4C340679"/>
    <w:rsid w:val="4D577224"/>
    <w:rsid w:val="4DC01C20"/>
    <w:rsid w:val="4EAB630A"/>
    <w:rsid w:val="4ECE2238"/>
    <w:rsid w:val="503A4A16"/>
    <w:rsid w:val="50936DA4"/>
    <w:rsid w:val="51B36B70"/>
    <w:rsid w:val="537E6D0A"/>
    <w:rsid w:val="53A35C37"/>
    <w:rsid w:val="55380B37"/>
    <w:rsid w:val="556A2B00"/>
    <w:rsid w:val="563F6560"/>
    <w:rsid w:val="57B73268"/>
    <w:rsid w:val="57E73A1A"/>
    <w:rsid w:val="59145148"/>
    <w:rsid w:val="59336B08"/>
    <w:rsid w:val="596F6D3D"/>
    <w:rsid w:val="599E6821"/>
    <w:rsid w:val="5A3E3702"/>
    <w:rsid w:val="5A426C5E"/>
    <w:rsid w:val="5A4A6C13"/>
    <w:rsid w:val="5AF92295"/>
    <w:rsid w:val="5CD71FC4"/>
    <w:rsid w:val="5DED55FF"/>
    <w:rsid w:val="5E060110"/>
    <w:rsid w:val="5E8D089D"/>
    <w:rsid w:val="5F036297"/>
    <w:rsid w:val="5F0D1C28"/>
    <w:rsid w:val="5F355DB5"/>
    <w:rsid w:val="61126E9E"/>
    <w:rsid w:val="6164334A"/>
    <w:rsid w:val="627066F9"/>
    <w:rsid w:val="6465713E"/>
    <w:rsid w:val="64C016E6"/>
    <w:rsid w:val="65C50080"/>
    <w:rsid w:val="66D859BC"/>
    <w:rsid w:val="66E049AE"/>
    <w:rsid w:val="66EA2D39"/>
    <w:rsid w:val="69121677"/>
    <w:rsid w:val="6A681FC1"/>
    <w:rsid w:val="6B9D7A2A"/>
    <w:rsid w:val="6C4A05C8"/>
    <w:rsid w:val="6CC73EF8"/>
    <w:rsid w:val="6E7E3605"/>
    <w:rsid w:val="6F1647E5"/>
    <w:rsid w:val="6F3B7E47"/>
    <w:rsid w:val="6FF5CC65"/>
    <w:rsid w:val="6FFA64C1"/>
    <w:rsid w:val="70022965"/>
    <w:rsid w:val="70224AE3"/>
    <w:rsid w:val="715C0E4B"/>
    <w:rsid w:val="719A11A6"/>
    <w:rsid w:val="72547EE5"/>
    <w:rsid w:val="72734D90"/>
    <w:rsid w:val="72BF2569"/>
    <w:rsid w:val="730F0DA7"/>
    <w:rsid w:val="73AD73D5"/>
    <w:rsid w:val="73B6EB34"/>
    <w:rsid w:val="73E9179C"/>
    <w:rsid w:val="744731E5"/>
    <w:rsid w:val="744B7170"/>
    <w:rsid w:val="746238C3"/>
    <w:rsid w:val="74AA69DC"/>
    <w:rsid w:val="75E4225D"/>
    <w:rsid w:val="7693145A"/>
    <w:rsid w:val="76E3355F"/>
    <w:rsid w:val="76FFE149"/>
    <w:rsid w:val="77562325"/>
    <w:rsid w:val="778769C8"/>
    <w:rsid w:val="781E1AEC"/>
    <w:rsid w:val="7936541B"/>
    <w:rsid w:val="79EE5BA4"/>
    <w:rsid w:val="79F82AC8"/>
    <w:rsid w:val="7A1D765B"/>
    <w:rsid w:val="7A4D4F97"/>
    <w:rsid w:val="7A6047E0"/>
    <w:rsid w:val="7A894339"/>
    <w:rsid w:val="7B996BBF"/>
    <w:rsid w:val="7CA567DD"/>
    <w:rsid w:val="7CCC5441"/>
    <w:rsid w:val="7CE93FE9"/>
    <w:rsid w:val="7EEF11D3"/>
    <w:rsid w:val="7F190B1B"/>
    <w:rsid w:val="7FA30C79"/>
    <w:rsid w:val="7FB7269E"/>
    <w:rsid w:val="7FC96657"/>
    <w:rsid w:val="B5EB48A7"/>
    <w:rsid w:val="CFDF94C1"/>
    <w:rsid w:val="D8D6DB89"/>
    <w:rsid w:val="DB6F4CAB"/>
    <w:rsid w:val="DF6F978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5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Salutation"/>
    <w:basedOn w:val="1"/>
    <w:next w:val="1"/>
    <w:qFormat/>
    <w:uiPriority w:val="0"/>
  </w:style>
  <w:style w:type="paragraph" w:styleId="9">
    <w:name w:val="Body Text"/>
    <w:basedOn w:val="1"/>
    <w:link w:val="29"/>
    <w:qFormat/>
    <w:uiPriority w:val="99"/>
    <w:pPr>
      <w:spacing w:beforeLines="30"/>
    </w:pPr>
    <w:rPr>
      <w:rFonts w:ascii="仿宋_GB2312" w:eastAsia="仿宋_GB2312"/>
      <w:kern w:val="0"/>
      <w:sz w:val="30"/>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4"/>
    <w:semiHidden/>
    <w:unhideWhenUsed/>
    <w:qFormat/>
    <w:uiPriority w:val="99"/>
    <w:rPr>
      <w:sz w:val="18"/>
      <w:szCs w:val="18"/>
    </w:rPr>
  </w:style>
  <w:style w:type="paragraph" w:styleId="12">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page number"/>
    <w:basedOn w:val="17"/>
    <w:qFormat/>
    <w:uiPriority w:val="0"/>
  </w:style>
  <w:style w:type="character" w:styleId="20">
    <w:name w:val="FollowedHyperlink"/>
    <w:basedOn w:val="17"/>
    <w:semiHidden/>
    <w:unhideWhenUsed/>
    <w:qFormat/>
    <w:uiPriority w:val="99"/>
    <w:rPr>
      <w:color w:val="954F72"/>
      <w:u w:val="single"/>
    </w:rPr>
  </w:style>
  <w:style w:type="character" w:styleId="21">
    <w:name w:val="Hyperlink"/>
    <w:basedOn w:val="17"/>
    <w:unhideWhenUsed/>
    <w:qFormat/>
    <w:uiPriority w:val="99"/>
    <w:rPr>
      <w:color w:val="0000FF" w:themeColor="hyperlink"/>
      <w:u w:val="single"/>
      <w14:textFill>
        <w14:solidFill>
          <w14:schemeClr w14:val="hlink"/>
        </w14:solidFill>
      </w14:textFill>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3">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4">
    <w:name w:val="Header Char"/>
    <w:basedOn w:val="17"/>
    <w:semiHidden/>
    <w:qFormat/>
    <w:uiPriority w:val="99"/>
    <w:rPr>
      <w:rFonts w:ascii="Times New Roman" w:hAnsi="Times New Roman"/>
      <w:sz w:val="18"/>
      <w:szCs w:val="18"/>
    </w:rPr>
  </w:style>
  <w:style w:type="character" w:customStyle="1" w:styleId="25">
    <w:name w:val="页眉 字符"/>
    <w:link w:val="13"/>
    <w:semiHidden/>
    <w:qFormat/>
    <w:locked/>
    <w:uiPriority w:val="99"/>
    <w:rPr>
      <w:sz w:val="18"/>
    </w:rPr>
  </w:style>
  <w:style w:type="character" w:customStyle="1" w:styleId="26">
    <w:name w:val="Footer Char"/>
    <w:basedOn w:val="17"/>
    <w:semiHidden/>
    <w:qFormat/>
    <w:uiPriority w:val="99"/>
    <w:rPr>
      <w:rFonts w:ascii="Times New Roman" w:hAnsi="Times New Roman"/>
      <w:sz w:val="18"/>
      <w:szCs w:val="18"/>
    </w:rPr>
  </w:style>
  <w:style w:type="character" w:customStyle="1" w:styleId="27">
    <w:name w:val="页脚 字符"/>
    <w:link w:val="12"/>
    <w:qFormat/>
    <w:locked/>
    <w:uiPriority w:val="99"/>
    <w:rPr>
      <w:sz w:val="18"/>
    </w:rPr>
  </w:style>
  <w:style w:type="character" w:customStyle="1" w:styleId="28">
    <w:name w:val="Body Text Char"/>
    <w:basedOn w:val="17"/>
    <w:semiHidden/>
    <w:qFormat/>
    <w:uiPriority w:val="99"/>
    <w:rPr>
      <w:rFonts w:ascii="Times New Roman" w:hAnsi="Times New Roman"/>
      <w:szCs w:val="24"/>
    </w:rPr>
  </w:style>
  <w:style w:type="character" w:customStyle="1" w:styleId="29">
    <w:name w:val="正文文本 字符"/>
    <w:link w:val="9"/>
    <w:qFormat/>
    <w:locked/>
    <w:uiPriority w:val="99"/>
    <w:rPr>
      <w:rFonts w:ascii="仿宋_GB2312" w:hAnsi="Times New Roman" w:eastAsia="仿宋_GB2312"/>
      <w:sz w:val="24"/>
    </w:rPr>
  </w:style>
  <w:style w:type="paragraph" w:styleId="30">
    <w:name w:val="List Paragraph"/>
    <w:basedOn w:val="1"/>
    <w:qFormat/>
    <w:uiPriority w:val="34"/>
    <w:pPr>
      <w:ind w:firstLine="420" w:firstLineChars="200"/>
    </w:pPr>
  </w:style>
  <w:style w:type="character" w:customStyle="1" w:styleId="31">
    <w:name w:val="标题 1 字符"/>
    <w:basedOn w:val="17"/>
    <w:link w:val="5"/>
    <w:qFormat/>
    <w:uiPriority w:val="9"/>
    <w:rPr>
      <w:rFonts w:ascii="Times New Roman" w:hAnsi="Times New Roman"/>
      <w:b/>
      <w:bCs/>
      <w:kern w:val="44"/>
      <w:sz w:val="44"/>
      <w:szCs w:val="44"/>
    </w:rPr>
  </w:style>
  <w:style w:type="character" w:customStyle="1" w:styleId="32">
    <w:name w:val="标题 2 字符"/>
    <w:basedOn w:val="17"/>
    <w:qFormat/>
    <w:uiPriority w:val="9"/>
    <w:rPr>
      <w:rFonts w:asciiTheme="majorHAnsi" w:hAnsiTheme="majorHAnsi" w:eastAsiaTheme="majorEastAsia" w:cstheme="majorBidi"/>
      <w:b/>
      <w:bCs/>
      <w:kern w:val="2"/>
      <w:sz w:val="32"/>
      <w:szCs w:val="32"/>
    </w:rPr>
  </w:style>
  <w:style w:type="paragraph" w:customStyle="1" w:styleId="33">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字符"/>
    <w:basedOn w:val="17"/>
    <w:link w:val="11"/>
    <w:semiHidden/>
    <w:qFormat/>
    <w:uiPriority w:val="99"/>
    <w:rPr>
      <w:rFonts w:ascii="Times New Roman" w:hAnsi="Times New Roman"/>
      <w:kern w:val="2"/>
      <w:sz w:val="18"/>
      <w:szCs w:val="18"/>
    </w:rPr>
  </w:style>
  <w:style w:type="character" w:customStyle="1" w:styleId="35">
    <w:name w:val="标题 3 字符"/>
    <w:basedOn w:val="17"/>
    <w:link w:val="7"/>
    <w:qFormat/>
    <w:uiPriority w:val="9"/>
    <w:rPr>
      <w:rFonts w:ascii="Times New Roman" w:hAnsi="Times New Roman"/>
      <w:b/>
      <w:bCs/>
      <w:kern w:val="2"/>
      <w:sz w:val="32"/>
      <w:szCs w:val="32"/>
    </w:rPr>
  </w:style>
  <w:style w:type="paragraph" w:customStyle="1" w:styleId="36">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color w:val="000000"/>
      <w:kern w:val="0"/>
      <w:sz w:val="28"/>
      <w:szCs w:val="21"/>
      <w:lang w:val="zh-CN"/>
    </w:rPr>
  </w:style>
  <w:style w:type="paragraph" w:customStyle="1" w:styleId="38">
    <w:name w:val="TOC 标题3"/>
    <w:basedOn w:val="5"/>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9">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0">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41">
    <w:name w:val="xl6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18"/>
      <w:szCs w:val="18"/>
    </w:rPr>
  </w:style>
  <w:style w:type="paragraph" w:customStyle="1" w:styleId="42">
    <w:name w:val="xl64"/>
    <w:basedOn w:val="1"/>
    <w:qFormat/>
    <w:uiPriority w:val="0"/>
    <w:pPr>
      <w:widowControl/>
      <w:spacing w:before="100" w:beforeAutospacing="1" w:after="100" w:afterAutospacing="1"/>
      <w:jc w:val="left"/>
    </w:pPr>
    <w:rPr>
      <w:rFonts w:ascii="Courier New" w:hAnsi="Courier New" w:cs="Courier New"/>
      <w:color w:val="000000"/>
      <w:kern w:val="0"/>
      <w:sz w:val="18"/>
      <w:szCs w:val="18"/>
    </w:rPr>
  </w:style>
  <w:style w:type="paragraph" w:customStyle="1" w:styleId="43">
    <w:name w:val="xl6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4">
    <w:name w:val="xl6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5">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6">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i/>
      <w:iCs/>
      <w:color w:val="000000"/>
      <w:kern w:val="0"/>
      <w:sz w:val="16"/>
      <w:szCs w:val="16"/>
    </w:rPr>
  </w:style>
  <w:style w:type="paragraph" w:customStyle="1" w:styleId="47">
    <w:name w:val="xl6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8">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s="宋体"/>
      <w:b/>
      <w:bCs/>
      <w:color w:val="000000"/>
      <w:kern w:val="0"/>
      <w:sz w:val="30"/>
      <w:szCs w:val="30"/>
    </w:rPr>
  </w:style>
  <w:style w:type="paragraph" w:customStyle="1" w:styleId="49">
    <w:name w:val="xl7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color w:val="000000"/>
      <w:kern w:val="0"/>
      <w:sz w:val="18"/>
      <w:szCs w:val="18"/>
    </w:rPr>
  </w:style>
  <w:style w:type="paragraph" w:customStyle="1" w:styleId="50">
    <w:name w:val="xl7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color w:val="000000"/>
      <w:kern w:val="0"/>
      <w:sz w:val="18"/>
      <w:szCs w:val="18"/>
    </w:rPr>
  </w:style>
  <w:style w:type="paragraph" w:customStyle="1" w:styleId="51">
    <w:name w:val="xl7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i/>
      <w:iCs/>
      <w:color w:val="000000"/>
      <w:kern w:val="0"/>
      <w:sz w:val="18"/>
      <w:szCs w:val="18"/>
    </w:rPr>
  </w:style>
  <w:style w:type="paragraph" w:customStyle="1" w:styleId="52">
    <w:name w:val="xl7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i/>
      <w:iCs/>
      <w:color w:val="000000"/>
      <w:kern w:val="0"/>
      <w:sz w:val="16"/>
      <w:szCs w:val="16"/>
    </w:rPr>
  </w:style>
  <w:style w:type="character" w:customStyle="1" w:styleId="53">
    <w:name w:val="标题 2 字符1"/>
    <w:basedOn w:val="17"/>
    <w:link w:val="6"/>
    <w:qFormat/>
    <w:uiPriority w:val="9"/>
    <w:rPr>
      <w:rFonts w:ascii="Cambria" w:hAnsi="Cambria" w:eastAsia="宋体" w:cs="Times New Roman"/>
      <w:b/>
      <w:bCs/>
      <w:sz w:val="32"/>
      <w:szCs w:val="32"/>
    </w:rPr>
  </w:style>
  <w:style w:type="paragraph" w:customStyle="1" w:styleId="54">
    <w:name w:val="默认"/>
    <w:basedOn w:val="1"/>
    <w:next w:val="1"/>
    <w:qFormat/>
    <w:uiPriority w:val="0"/>
    <w:pPr>
      <w:widowControl/>
    </w:pPr>
    <w:rPr>
      <w:rFonts w:ascii="Helvetica Neue" w:hAnsi="Helvetica Neue" w:eastAsia="Arial Unicode MS" w:cs="Arial Unicode MS"/>
      <w:color w:val="000000"/>
      <w:sz w:val="22"/>
    </w:rPr>
  </w:style>
  <w:style w:type="paragraph" w:customStyle="1" w:styleId="55">
    <w:name w:val="正文1"/>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187324979319219"/>
          <c:y val="0.0684208014668023"/>
          <c:w val="0.573018597997139"/>
          <c:h val="0.670186009357526"/>
        </c:manualLayout>
      </c:layout>
      <c:barChart>
        <c:barDir val="col"/>
        <c:grouping val="clustered"/>
        <c:varyColors val="false"/>
        <c:ser>
          <c:idx val="0"/>
          <c:order val="0"/>
          <c:tx>
            <c:strRef>
              <c:f>Sheet1!$A$2</c:f>
              <c:strCache>
                <c:ptCount val="1"/>
                <c:pt idx="0">
                  <c:v>2023年</c:v>
                </c:pt>
              </c:strCache>
            </c:strRef>
          </c:tx>
          <c:spPr>
            <a:solidFill>
              <a:srgbClr val="9999FF"/>
            </a:solidFill>
            <a:ln w="12700">
              <a:solidFill>
                <a:srgbClr val="000000"/>
              </a:solidFill>
              <a:prstDash val="solid"/>
            </a:ln>
          </c:spPr>
          <c:invertIfNegative val="false"/>
          <c:dLbls>
            <c:delete val="true"/>
          </c:dLbls>
          <c:cat>
            <c:strRef>
              <c:f>Sheet1!$B$1:$C$1</c:f>
              <c:strCache>
                <c:ptCount val="2"/>
                <c:pt idx="0">
                  <c:v>收入情况（万元）</c:v>
                </c:pt>
                <c:pt idx="1">
                  <c:v>支出情况（万元）</c:v>
                </c:pt>
              </c:strCache>
            </c:strRef>
          </c:cat>
          <c:val>
            <c:numRef>
              <c:f>Sheet1!$B$2:$C$2</c:f>
              <c:numCache>
                <c:formatCode>General</c:formatCode>
                <c:ptCount val="2"/>
                <c:pt idx="0">
                  <c:v>786.55</c:v>
                </c:pt>
                <c:pt idx="1">
                  <c:v>786.55</c:v>
                </c:pt>
              </c:numCache>
            </c:numRef>
          </c:val>
        </c:ser>
        <c:ser>
          <c:idx val="1"/>
          <c:order val="1"/>
          <c:tx>
            <c:strRef>
              <c:f>Sheet1!$A$3</c:f>
              <c:strCache>
                <c:ptCount val="1"/>
                <c:pt idx="0">
                  <c:v>2024年</c:v>
                </c:pt>
              </c:strCache>
            </c:strRef>
          </c:tx>
          <c:spPr>
            <a:solidFill>
              <a:srgbClr val="993366"/>
            </a:solidFill>
            <a:ln w="12700">
              <a:solidFill>
                <a:srgbClr val="000000"/>
              </a:solidFill>
              <a:prstDash val="solid"/>
            </a:ln>
          </c:spPr>
          <c:invertIfNegative val="false"/>
          <c:dLbls>
            <c:delete val="true"/>
          </c:dLbls>
          <c:cat>
            <c:strRef>
              <c:f>Sheet1!$B$1:$C$1</c:f>
              <c:strCache>
                <c:ptCount val="2"/>
                <c:pt idx="0">
                  <c:v>收入情况（万元）</c:v>
                </c:pt>
                <c:pt idx="1">
                  <c:v>支出情况（万元）</c:v>
                </c:pt>
              </c:strCache>
            </c:strRef>
          </c:cat>
          <c:val>
            <c:numRef>
              <c:f>Sheet1!$B$3:$C$3</c:f>
              <c:numCache>
                <c:formatCode>General</c:formatCode>
                <c:ptCount val="2"/>
                <c:pt idx="0">
                  <c:v>768.2</c:v>
                </c:pt>
                <c:pt idx="1">
                  <c:v>768.2</c:v>
                </c:pt>
              </c:numCache>
            </c:numRef>
          </c:val>
        </c:ser>
        <c:dLbls>
          <c:showLegendKey val="false"/>
          <c:showVal val="false"/>
          <c:showCatName val="false"/>
          <c:showSerName val="false"/>
          <c:showPercent val="false"/>
          <c:showBubbleSize val="false"/>
        </c:dLbls>
        <c:gapWidth val="150"/>
        <c:axId val="90788992"/>
        <c:axId val="90794240"/>
      </c:barChart>
      <c:catAx>
        <c:axId val="90788992"/>
        <c:scaling>
          <c:orientation val="minMax"/>
        </c:scaling>
        <c:delete val="false"/>
        <c:axPos val="b"/>
        <c:numFmt formatCode="General" sourceLinked="true"/>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true"/>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90794240"/>
        <c:crosses val="autoZero"/>
        <c:auto val="true"/>
        <c:lblAlgn val="ctr"/>
        <c:lblOffset val="100"/>
        <c:tickLblSkip val="1"/>
        <c:noMultiLvlLbl val="false"/>
      </c:catAx>
      <c:valAx>
        <c:axId val="90794240"/>
        <c:scaling>
          <c:orientation val="minMax"/>
        </c:scaling>
        <c:delete val="false"/>
        <c:axPos val="l"/>
        <c:majorGridlines>
          <c:spPr>
            <a:ln w="3175" cap="flat" cmpd="sng" algn="ctr">
              <a:solidFill>
                <a:srgbClr val="000000"/>
              </a:solidFill>
              <a:prstDash val="solid"/>
              <a:round/>
            </a:ln>
          </c:spPr>
        </c:majorGridlines>
        <c:numFmt formatCode="General" sourceLinked="true"/>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true"/>
          <a:lstStyle/>
          <a:p>
            <a:pPr>
              <a:defRPr lang="zh-CN" sz="165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90788992"/>
        <c:crosses val="autoZero"/>
        <c:crossBetween val="between"/>
      </c:valAx>
      <c:spPr>
        <a:solidFill>
          <a:srgbClr val="C0C0C0"/>
        </a:solidFill>
        <a:ln w="12700">
          <a:solidFill>
            <a:srgbClr val="808080"/>
          </a:solidFill>
          <a:prstDash val="solid"/>
        </a:ln>
      </c:spPr>
    </c:plotArea>
    <c:legend>
      <c:legendPos val="r"/>
      <c:layout>
        <c:manualLayout>
          <c:xMode val="edge"/>
          <c:yMode val="edge"/>
          <c:x val="0.777885843668688"/>
          <c:y val="0.198001096696492"/>
          <c:w val="0.219304748478493"/>
          <c:h val="0.337358337454196"/>
        </c:manualLayout>
      </c:layout>
      <c:overlay val="false"/>
      <c:spPr>
        <a:noFill/>
        <a:ln w="3175">
          <a:solidFill>
            <a:srgbClr val="000000"/>
          </a:solidFill>
          <a:prstDash val="solid"/>
        </a:ln>
      </c:spPr>
      <c:txPr>
        <a:bodyPr rot="0" spcFirstLastPara="0" vertOverflow="ellipsis" vert="horz" wrap="square" anchor="ctr" anchorCtr="true"/>
        <a:lstStyle/>
        <a:p>
          <a:pPr>
            <a:defRPr lang="zh-CN" sz="151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true"/>
    <c:dispBlanksAs val="gap"/>
    <c:showDLblsOverMax val="false"/>
  </c:chart>
  <c:spPr>
    <a:noFill/>
    <a:ln w="9525" cap="flat" cmpd="sng" algn="ctr">
      <a:noFill/>
      <a:prstDash val="solid"/>
      <a:round/>
    </a:ln>
  </c:spPr>
  <c:txPr>
    <a:bodyPr/>
    <a:lstStyle/>
    <a:p>
      <a:pPr>
        <a:defRPr lang="zh-CN" sz="165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182099675804478"/>
          <c:y val="0.0679012345679013"/>
          <c:w val="0.387353206865403"/>
          <c:h val="0.882304526748971"/>
        </c:manualLayout>
      </c:layout>
      <c:pieChart>
        <c:varyColors val="true"/>
        <c:ser>
          <c:idx val="0"/>
          <c:order val="0"/>
          <c:tx>
            <c:strRef>
              <c:f>Sheet1!$A$2</c:f>
              <c:strCache>
                <c:ptCount val="1"/>
                <c:pt idx="0">
                  <c:v>2024年本年收入</c:v>
                </c:pt>
              </c:strCache>
            </c:strRef>
          </c:tx>
          <c:spPr>
            <a:solidFill>
              <a:srgbClr val="9999FF"/>
            </a:solidFill>
            <a:ln w="12689">
              <a:solidFill>
                <a:srgbClr val="000000"/>
              </a:solidFill>
              <a:prstDash val="solid"/>
            </a:ln>
          </c:spPr>
          <c:explosion val="0"/>
          <c:dPt>
            <c:idx val="0"/>
            <c:bubble3D val="false"/>
            <c:spPr>
              <a:solidFill>
                <a:srgbClr val="9999FF"/>
              </a:solidFill>
              <a:ln w="12689">
                <a:solidFill>
                  <a:srgbClr val="000000"/>
                </a:solidFill>
                <a:prstDash val="solid"/>
              </a:ln>
            </c:spPr>
          </c:dPt>
          <c:dLbls>
            <c:spPr>
              <a:noFill/>
              <a:ln>
                <a:noFill/>
              </a:ln>
              <a:effectLst/>
            </c:spPr>
            <c:txPr>
              <a:bodyPr rot="0" spcFirstLastPara="0" vertOverflow="ellipsis" vert="horz" wrap="square" lIns="38100" tIns="19050" rIns="38100" bIns="19050" anchor="ctr" anchorCtr="true"/>
              <a:lstStyle/>
              <a:p>
                <a:pPr>
                  <a:defRPr lang="zh-CN" sz="115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Sheet1!$B$1</c:f>
              <c:strCache>
                <c:ptCount val="1"/>
                <c:pt idx="0">
                  <c:v>一般公共预算财政拨款收入（万元）</c:v>
                </c:pt>
              </c:strCache>
            </c:strRef>
          </c:cat>
          <c:val>
            <c:numRef>
              <c:f>Sheet1!$B$2</c:f>
              <c:numCache>
                <c:formatCode>General</c:formatCode>
                <c:ptCount val="1"/>
                <c:pt idx="0">
                  <c:v>786.55</c:v>
                </c:pt>
              </c:numCache>
            </c:numRef>
          </c:val>
        </c:ser>
        <c:dLbls>
          <c:showLegendKey val="false"/>
          <c:showVal val="false"/>
          <c:showCatName val="false"/>
          <c:showSerName val="false"/>
          <c:showPercent val="false"/>
          <c:showBubbleSize val="false"/>
          <c:showLeaderLines val="true"/>
        </c:dLbls>
        <c:firstSliceAng val="0"/>
      </c:pieChart>
      <c:spPr>
        <a:solidFill>
          <a:srgbClr val="C0C0C0"/>
        </a:solidFill>
        <a:ln w="12689">
          <a:solidFill>
            <a:srgbClr val="808080"/>
          </a:solidFill>
          <a:prstDash val="solid"/>
        </a:ln>
      </c:spPr>
    </c:plotArea>
    <c:legend>
      <c:legendPos val="r"/>
      <c:layout>
        <c:manualLayout>
          <c:xMode val="edge"/>
          <c:yMode val="edge"/>
          <c:x val="0.57229227828003"/>
          <c:y val="0.0283428542020482"/>
          <c:w val="0.40788490327598"/>
          <c:h val="0.824056048112096"/>
        </c:manualLayout>
      </c:layout>
      <c:overlay val="false"/>
      <c:spPr>
        <a:noFill/>
        <a:ln w="3172">
          <a:solidFill>
            <a:srgbClr val="000000"/>
          </a:solidFill>
          <a:prstDash val="solid"/>
        </a:ln>
      </c:spPr>
      <c:txPr>
        <a:bodyPr rot="0" spcFirstLastPara="0" vertOverflow="ellipsis" vert="horz" wrap="square" anchor="ctr" anchorCtr="true"/>
        <a:lstStyle/>
        <a:p>
          <a:pPr>
            <a:defRPr lang="zh-CN" sz="105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true"/>
    <c:dispBlanksAs val="zero"/>
    <c:showDLblsOverMax val="false"/>
  </c:chart>
  <c:spPr>
    <a:noFill/>
    <a:ln w="9525" cap="flat" cmpd="sng" algn="ctr">
      <a:noFill/>
      <a:prstDash val="solid"/>
      <a:round/>
    </a:ln>
  </c:spPr>
  <c:txPr>
    <a:bodyPr/>
    <a:lstStyle/>
    <a:p>
      <a:pPr>
        <a:defRPr lang="zh-CN" sz="115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21042471042471"/>
          <c:y val="0.0941176470588235"/>
          <c:w val="0.399613899613904"/>
          <c:h val="0.811764705882346"/>
        </c:manualLayout>
      </c:layout>
      <c:pieChart>
        <c:varyColors val="true"/>
        <c:ser>
          <c:idx val="0"/>
          <c:order val="0"/>
          <c:tx>
            <c:strRef>
              <c:f>Sheet1!$A$2</c:f>
              <c:strCache>
                <c:ptCount val="1"/>
                <c:pt idx="0">
                  <c:v>2024年</c:v>
                </c:pt>
              </c:strCache>
            </c:strRef>
          </c:tx>
          <c:spPr>
            <a:solidFill>
              <a:srgbClr val="9999FF"/>
            </a:solidFill>
            <a:ln w="12678">
              <a:solidFill>
                <a:srgbClr val="000000"/>
              </a:solidFill>
              <a:prstDash val="solid"/>
            </a:ln>
          </c:spPr>
          <c:explosion val="0"/>
          <c:dPt>
            <c:idx val="0"/>
            <c:bubble3D val="false"/>
            <c:spPr>
              <a:solidFill>
                <a:srgbClr val="9999FF"/>
              </a:solidFill>
              <a:ln w="12678">
                <a:solidFill>
                  <a:srgbClr val="000000"/>
                </a:solidFill>
                <a:prstDash val="solid"/>
              </a:ln>
            </c:spPr>
          </c:dPt>
          <c:dPt>
            <c:idx val="1"/>
            <c:bubble3D val="false"/>
            <c:spPr>
              <a:solidFill>
                <a:srgbClr val="993366"/>
              </a:solidFill>
              <a:ln w="12678">
                <a:solidFill>
                  <a:srgbClr val="000000"/>
                </a:solidFill>
                <a:prstDash val="solid"/>
              </a:ln>
            </c:spPr>
          </c:dPt>
          <c:dLbls>
            <c:spPr>
              <a:noFill/>
              <a:ln>
                <a:noFill/>
              </a:ln>
              <a:effectLst/>
            </c:spPr>
            <c:txPr>
              <a:bodyPr rot="0" spcFirstLastPara="0" vertOverflow="ellipsis" vert="horz" wrap="square" lIns="38100" tIns="19050" rIns="38100" bIns="19050" anchor="ctr" anchorCtr="true"/>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Sheet1!$B$1:$C$1</c:f>
              <c:strCache>
                <c:ptCount val="2"/>
                <c:pt idx="0">
                  <c:v>基本支出（万元）</c:v>
                </c:pt>
                <c:pt idx="1">
                  <c:v>项目支出（万元）</c:v>
                </c:pt>
              </c:strCache>
            </c:strRef>
          </c:cat>
          <c:val>
            <c:numRef>
              <c:f>Sheet1!$B$2:$C$2</c:f>
              <c:numCache>
                <c:formatCode>General</c:formatCode>
                <c:ptCount val="2"/>
                <c:pt idx="0">
                  <c:v>543.2</c:v>
                </c:pt>
                <c:pt idx="1">
                  <c:v>225</c:v>
                </c:pt>
              </c:numCache>
            </c:numRef>
          </c:val>
        </c:ser>
        <c:dLbls>
          <c:showLegendKey val="false"/>
          <c:showVal val="false"/>
          <c:showCatName val="false"/>
          <c:showSerName val="false"/>
          <c:showPercent val="false"/>
          <c:showBubbleSize val="false"/>
          <c:showLeaderLines val="true"/>
        </c:dLbls>
        <c:firstSliceAng val="0"/>
      </c:pieChart>
      <c:spPr>
        <a:solidFill>
          <a:srgbClr val="C0C0C0"/>
        </a:solidFill>
        <a:ln w="12678">
          <a:solidFill>
            <a:srgbClr val="808080"/>
          </a:solidFill>
          <a:prstDash val="solid"/>
        </a:ln>
      </c:spPr>
    </c:plotArea>
    <c:legend>
      <c:legendPos val="r"/>
      <c:layout>
        <c:manualLayout>
          <c:xMode val="edge"/>
          <c:yMode val="edge"/>
          <c:x val="0.642402761751676"/>
          <c:y val="0.355931389962571"/>
          <c:w val="0.340875554647465"/>
          <c:h val="0.410237981997217"/>
        </c:manualLayout>
      </c:layout>
      <c:overlay val="false"/>
      <c:spPr>
        <a:noFill/>
        <a:ln w="3170">
          <a:solidFill>
            <a:srgbClr val="000000"/>
          </a:solidFill>
          <a:prstDash val="solid"/>
        </a:ln>
      </c:spPr>
      <c:txPr>
        <a:bodyPr rot="0" spcFirstLastPara="0" vertOverflow="ellipsis" vert="horz" wrap="square" anchor="ctr" anchorCtr="true"/>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true"/>
    <c:dispBlanksAs val="zero"/>
    <c:showDLblsOverMax val="false"/>
  </c:chart>
  <c:spPr>
    <a:noFill/>
    <a:ln w="9525" cap="flat" cmpd="sng" algn="ctr">
      <a:noFill/>
      <a:prstDash val="solid"/>
      <a:round/>
    </a:ln>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136321007552898"/>
          <c:y val="0.04"/>
          <c:w val="0.573018597997139"/>
          <c:h val="0.722272749614163"/>
        </c:manualLayout>
      </c:layout>
      <c:barChart>
        <c:barDir val="col"/>
        <c:grouping val="clustered"/>
        <c:varyColors val="false"/>
        <c:ser>
          <c:idx val="0"/>
          <c:order val="0"/>
          <c:tx>
            <c:strRef>
              <c:f>Sheet1!$A$2</c:f>
              <c:strCache>
                <c:ptCount val="1"/>
                <c:pt idx="0">
                  <c:v>2023年</c:v>
                </c:pt>
              </c:strCache>
            </c:strRef>
          </c:tx>
          <c:spPr>
            <a:solidFill>
              <a:srgbClr val="9999FF"/>
            </a:solidFill>
            <a:ln w="12700">
              <a:solidFill>
                <a:srgbClr val="000000"/>
              </a:solidFill>
              <a:prstDash val="solid"/>
            </a:ln>
          </c:spPr>
          <c:invertIfNegative val="false"/>
          <c:dLbls>
            <c:delete val="true"/>
          </c:dLbls>
          <c:cat>
            <c:strRef>
              <c:f>Sheet1!$B$1:$B$1</c:f>
              <c:strCache>
                <c:ptCount val="1"/>
                <c:pt idx="0">
                  <c:v>财政拨款收支（万元）</c:v>
                </c:pt>
              </c:strCache>
            </c:strRef>
          </c:cat>
          <c:val>
            <c:numRef>
              <c:f>Sheet1!$B$2:$B$2</c:f>
              <c:numCache>
                <c:formatCode>General</c:formatCode>
                <c:ptCount val="1"/>
                <c:pt idx="0">
                  <c:v>786.55</c:v>
                </c:pt>
              </c:numCache>
            </c:numRef>
          </c:val>
        </c:ser>
        <c:ser>
          <c:idx val="1"/>
          <c:order val="1"/>
          <c:tx>
            <c:strRef>
              <c:f>Sheet1!$A$3</c:f>
              <c:strCache>
                <c:ptCount val="1"/>
                <c:pt idx="0">
                  <c:v>2024年</c:v>
                </c:pt>
              </c:strCache>
            </c:strRef>
          </c:tx>
          <c:spPr>
            <a:solidFill>
              <a:srgbClr val="993366"/>
            </a:solidFill>
            <a:ln w="12700">
              <a:solidFill>
                <a:srgbClr val="000000"/>
              </a:solidFill>
              <a:prstDash val="solid"/>
            </a:ln>
          </c:spPr>
          <c:invertIfNegative val="false"/>
          <c:dLbls>
            <c:delete val="true"/>
          </c:dLbls>
          <c:cat>
            <c:strRef>
              <c:f>Sheet1!$B$1:$B$1</c:f>
              <c:strCache>
                <c:ptCount val="1"/>
                <c:pt idx="0">
                  <c:v>财政拨款收支（万元）</c:v>
                </c:pt>
              </c:strCache>
            </c:strRef>
          </c:cat>
          <c:val>
            <c:numRef>
              <c:f>Sheet1!$B$3:$B$3</c:f>
              <c:numCache>
                <c:formatCode>General</c:formatCode>
                <c:ptCount val="1"/>
                <c:pt idx="0">
                  <c:v>768.2</c:v>
                </c:pt>
              </c:numCache>
            </c:numRef>
          </c:val>
        </c:ser>
        <c:dLbls>
          <c:showLegendKey val="false"/>
          <c:showVal val="false"/>
          <c:showCatName val="false"/>
          <c:showSerName val="false"/>
          <c:showPercent val="false"/>
          <c:showBubbleSize val="false"/>
        </c:dLbls>
        <c:gapWidth val="150"/>
        <c:axId val="182538240"/>
        <c:axId val="182540160"/>
      </c:barChart>
      <c:catAx>
        <c:axId val="182538240"/>
        <c:scaling>
          <c:orientation val="minMax"/>
        </c:scaling>
        <c:delete val="false"/>
        <c:axPos val="b"/>
        <c:numFmt formatCode="General" sourceLinked="true"/>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true"/>
          <a:lstStyle/>
          <a:p>
            <a:pPr>
              <a:defRPr lang="zh-CN" sz="165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82540160"/>
        <c:crosses val="autoZero"/>
        <c:auto val="true"/>
        <c:lblAlgn val="ctr"/>
        <c:lblOffset val="100"/>
        <c:tickLblSkip val="1"/>
        <c:noMultiLvlLbl val="false"/>
      </c:catAx>
      <c:valAx>
        <c:axId val="182540160"/>
        <c:scaling>
          <c:orientation val="minMax"/>
        </c:scaling>
        <c:delete val="false"/>
        <c:axPos val="l"/>
        <c:majorGridlines>
          <c:spPr>
            <a:ln w="3175" cap="flat" cmpd="sng" algn="ctr">
              <a:solidFill>
                <a:srgbClr val="000000"/>
              </a:solidFill>
              <a:prstDash val="solid"/>
              <a:round/>
            </a:ln>
          </c:spPr>
        </c:majorGridlines>
        <c:numFmt formatCode="General" sourceLinked="true"/>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true"/>
          <a:lstStyle/>
          <a:p>
            <a:pPr>
              <a:defRPr lang="zh-CN" sz="165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82538240"/>
        <c:crosses val="autoZero"/>
        <c:crossBetween val="between"/>
      </c:valAx>
      <c:spPr>
        <a:solidFill>
          <a:srgbClr val="C0C0C0"/>
        </a:solidFill>
        <a:ln w="12700">
          <a:solidFill>
            <a:srgbClr val="808080"/>
          </a:solidFill>
          <a:prstDash val="solid"/>
        </a:ln>
      </c:spPr>
    </c:plotArea>
    <c:legend>
      <c:legendPos val="r"/>
      <c:layout>
        <c:manualLayout>
          <c:xMode val="edge"/>
          <c:yMode val="edge"/>
          <c:x val="0.777885843668687"/>
          <c:y val="0.198001096696492"/>
          <c:w val="0.204748601055741"/>
          <c:h val="0.395329465395775"/>
        </c:manualLayout>
      </c:layout>
      <c:overlay val="false"/>
      <c:spPr>
        <a:noFill/>
        <a:ln w="3175">
          <a:solidFill>
            <a:srgbClr val="000000"/>
          </a:solidFill>
          <a:prstDash val="solid"/>
        </a:ln>
      </c:spPr>
      <c:txPr>
        <a:bodyPr rot="0" spcFirstLastPara="0" vertOverflow="ellipsis" vert="horz" wrap="square" anchor="ctr" anchorCtr="true"/>
        <a:lstStyle/>
        <a:p>
          <a:pPr>
            <a:defRPr lang="zh-CN" sz="151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true"/>
    <c:dispBlanksAs val="gap"/>
    <c:showDLblsOverMax val="false"/>
  </c:chart>
  <c:spPr>
    <a:noFill/>
    <a:ln w="9525" cap="flat" cmpd="sng" algn="ctr">
      <a:noFill/>
      <a:prstDash val="solid"/>
      <a:round/>
    </a:ln>
  </c:spPr>
  <c:txPr>
    <a:bodyPr/>
    <a:lstStyle/>
    <a:p>
      <a:pPr>
        <a:defRPr lang="zh-CN" sz="165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170865874363328"/>
          <c:y val="0.107859078590786"/>
          <c:w val="0.64169779286927"/>
          <c:h val="0.711436314363144"/>
        </c:manualLayout>
      </c:layout>
      <c:barChart>
        <c:barDir val="col"/>
        <c:grouping val="clustered"/>
        <c:varyColors val="false"/>
        <c:ser>
          <c:idx val="0"/>
          <c:order val="0"/>
          <c:tx>
            <c:strRef>
              <c:f>Sheet1!$A$2</c:f>
              <c:strCache>
                <c:ptCount val="1"/>
                <c:pt idx="0">
                  <c:v>2024年</c:v>
                </c:pt>
              </c:strCache>
            </c:strRef>
          </c:tx>
          <c:spPr>
            <a:solidFill>
              <a:srgbClr val="9999FF"/>
            </a:solidFill>
            <a:ln w="12700">
              <a:solidFill>
                <a:srgbClr val="000000"/>
              </a:solidFill>
              <a:prstDash val="solid"/>
            </a:ln>
          </c:spPr>
          <c:invertIfNegative val="false"/>
          <c:dLbls>
            <c:delete val="true"/>
          </c:dLbls>
          <c:cat>
            <c:strRef>
              <c:f>Sheet1!$B$1:$B$1</c:f>
              <c:strCache>
                <c:ptCount val="1"/>
                <c:pt idx="0">
                  <c:v>一般公共预算财政拨款支出（万元）</c:v>
                </c:pt>
              </c:strCache>
            </c:strRef>
          </c:cat>
          <c:val>
            <c:numRef>
              <c:f>Sheet1!$B$2:$B$2</c:f>
              <c:numCache>
                <c:formatCode>General</c:formatCode>
                <c:ptCount val="1"/>
                <c:pt idx="0">
                  <c:v>768.2</c:v>
                </c:pt>
              </c:numCache>
            </c:numRef>
          </c:val>
        </c:ser>
        <c:ser>
          <c:idx val="1"/>
          <c:order val="1"/>
          <c:tx>
            <c:strRef>
              <c:f>Sheet1!$A$3</c:f>
              <c:strCache>
                <c:ptCount val="1"/>
                <c:pt idx="0">
                  <c:v>2023年</c:v>
                </c:pt>
              </c:strCache>
            </c:strRef>
          </c:tx>
          <c:spPr>
            <a:solidFill>
              <a:srgbClr val="993366"/>
            </a:solidFill>
            <a:ln w="12700">
              <a:solidFill>
                <a:srgbClr val="000000"/>
              </a:solidFill>
              <a:prstDash val="solid"/>
            </a:ln>
          </c:spPr>
          <c:invertIfNegative val="false"/>
          <c:dLbls>
            <c:delete val="true"/>
          </c:dLbls>
          <c:cat>
            <c:strRef>
              <c:f>Sheet1!$B$1:$B$1</c:f>
              <c:strCache>
                <c:ptCount val="1"/>
                <c:pt idx="0">
                  <c:v>一般公共预算财政拨款支出（万元）</c:v>
                </c:pt>
              </c:strCache>
            </c:strRef>
          </c:cat>
          <c:val>
            <c:numRef>
              <c:f>Sheet1!$B$3:$B$3</c:f>
              <c:numCache>
                <c:formatCode>General</c:formatCode>
                <c:ptCount val="1"/>
                <c:pt idx="0">
                  <c:v>777.09</c:v>
                </c:pt>
              </c:numCache>
            </c:numRef>
          </c:val>
        </c:ser>
        <c:dLbls>
          <c:showLegendKey val="false"/>
          <c:showVal val="false"/>
          <c:showCatName val="false"/>
          <c:showSerName val="false"/>
          <c:showPercent val="false"/>
          <c:showBubbleSize val="false"/>
        </c:dLbls>
        <c:gapWidth val="150"/>
        <c:axId val="225428608"/>
        <c:axId val="261918720"/>
      </c:barChart>
      <c:catAx>
        <c:axId val="225428608"/>
        <c:scaling>
          <c:orientation val="minMax"/>
        </c:scaling>
        <c:delete val="false"/>
        <c:axPos val="b"/>
        <c:numFmt formatCode="General" sourceLinked="true"/>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true"/>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261918720"/>
        <c:crosses val="autoZero"/>
        <c:auto val="true"/>
        <c:lblAlgn val="ctr"/>
        <c:lblOffset val="100"/>
        <c:tickLblSkip val="1"/>
        <c:noMultiLvlLbl val="false"/>
      </c:catAx>
      <c:valAx>
        <c:axId val="261918720"/>
        <c:scaling>
          <c:orientation val="minMax"/>
        </c:scaling>
        <c:delete val="false"/>
        <c:axPos val="l"/>
        <c:majorGridlines>
          <c:spPr>
            <a:ln w="3175" cap="flat" cmpd="sng" algn="ctr">
              <a:solidFill>
                <a:srgbClr val="000000"/>
              </a:solidFill>
              <a:prstDash val="solid"/>
              <a:round/>
            </a:ln>
          </c:spPr>
        </c:majorGridlines>
        <c:numFmt formatCode="General" sourceLinked="true"/>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true"/>
          <a:lstStyle/>
          <a:p>
            <a:pPr>
              <a:defRPr lang="zh-CN" sz="165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225428608"/>
        <c:crosses val="autoZero"/>
        <c:crossBetween val="between"/>
      </c:valAx>
      <c:spPr>
        <a:solidFill>
          <a:srgbClr val="C0C0C0"/>
        </a:solidFill>
        <a:ln w="12700">
          <a:solidFill>
            <a:srgbClr val="808080"/>
          </a:solidFill>
          <a:prstDash val="solid"/>
        </a:ln>
      </c:spPr>
    </c:plotArea>
    <c:legend>
      <c:legendPos val="r"/>
      <c:layout>
        <c:manualLayout>
          <c:xMode val="edge"/>
          <c:yMode val="edge"/>
          <c:x val="0.820011076597079"/>
          <c:y val="0.257080661893507"/>
          <c:w val="0.168182812010884"/>
          <c:h val="0.292476748098795"/>
        </c:manualLayout>
      </c:layout>
      <c:overlay val="false"/>
      <c:spPr>
        <a:noFill/>
        <a:ln w="3175">
          <a:solidFill>
            <a:srgbClr val="000000"/>
          </a:solidFill>
          <a:prstDash val="solid"/>
        </a:ln>
      </c:spPr>
      <c:txPr>
        <a:bodyPr rot="0" spcFirstLastPara="0" vertOverflow="ellipsis" vert="horz" wrap="square" anchor="ctr" anchorCtr="true"/>
        <a:lstStyle/>
        <a:p>
          <a:pPr>
            <a:defRPr lang="zh-CN" sz="151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true"/>
    <c:dispBlanksAs val="gap"/>
    <c:showDLblsOverMax val="false"/>
  </c:chart>
  <c:spPr>
    <a:noFill/>
    <a:ln w="9525" cap="flat" cmpd="sng" algn="ctr">
      <a:noFill/>
      <a:prstDash val="solid"/>
      <a:round/>
    </a:ln>
  </c:spPr>
  <c:txPr>
    <a:bodyPr/>
    <a:lstStyle/>
    <a:p>
      <a:pPr>
        <a:defRPr lang="zh-CN" sz="165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289404234382186"/>
          <c:y val="0.0378854625550662"/>
          <c:w val="0.264670658682635"/>
          <c:h val="0.876211453744494"/>
        </c:manualLayout>
      </c:layout>
      <c:pieChart>
        <c:varyColors val="true"/>
        <c:ser>
          <c:idx val="0"/>
          <c:order val="0"/>
          <c:tx>
            <c:strRef>
              <c:f>Sheet1!$A$2</c:f>
              <c:strCache>
                <c:ptCount val="1"/>
                <c:pt idx="0">
                  <c:v>2024年</c:v>
                </c:pt>
              </c:strCache>
            </c:strRef>
          </c:tx>
          <c:spPr>
            <a:solidFill>
              <a:srgbClr val="9999FF"/>
            </a:solidFill>
            <a:ln w="12686">
              <a:solidFill>
                <a:srgbClr val="000000"/>
              </a:solidFill>
              <a:prstDash val="solid"/>
            </a:ln>
          </c:spPr>
          <c:explosion val="0"/>
          <c:dPt>
            <c:idx val="0"/>
            <c:bubble3D val="false"/>
            <c:spPr>
              <a:solidFill>
                <a:srgbClr val="9999FF"/>
              </a:solidFill>
              <a:ln w="12686">
                <a:solidFill>
                  <a:srgbClr val="000000"/>
                </a:solidFill>
                <a:prstDash val="solid"/>
              </a:ln>
            </c:spPr>
          </c:dPt>
          <c:dPt>
            <c:idx val="1"/>
            <c:bubble3D val="false"/>
            <c:spPr>
              <a:solidFill>
                <a:srgbClr val="002060"/>
              </a:solidFill>
              <a:ln w="12686">
                <a:solidFill>
                  <a:srgbClr val="000000"/>
                </a:solidFill>
                <a:prstDash val="solid"/>
              </a:ln>
            </c:spPr>
          </c:dPt>
          <c:dPt>
            <c:idx val="2"/>
            <c:bubble3D val="false"/>
            <c:spPr>
              <a:solidFill>
                <a:srgbClr val="FFFFCC"/>
              </a:solidFill>
              <a:ln w="12686">
                <a:solidFill>
                  <a:srgbClr val="000000"/>
                </a:solidFill>
                <a:prstDash val="solid"/>
              </a:ln>
            </c:spPr>
          </c:dPt>
          <c:dPt>
            <c:idx val="3"/>
            <c:bubble3D val="false"/>
            <c:spPr>
              <a:solidFill>
                <a:schemeClr val="accent2">
                  <a:lumMod val="75000"/>
                </a:schemeClr>
              </a:solidFill>
              <a:ln w="12686">
                <a:solidFill>
                  <a:srgbClr val="000000"/>
                </a:solidFill>
                <a:prstDash val="solid"/>
              </a:ln>
            </c:spPr>
          </c:dPt>
          <c:dPt>
            <c:idx val="4"/>
            <c:bubble3D val="false"/>
            <c:spPr>
              <a:solidFill>
                <a:srgbClr val="9999FF"/>
              </a:solidFill>
              <a:ln w="12686">
                <a:solidFill>
                  <a:srgbClr val="000000"/>
                </a:solidFill>
                <a:prstDash val="solid"/>
              </a:ln>
            </c:spPr>
          </c:dPt>
          <c:dLbls>
            <c:spPr>
              <a:noFill/>
              <a:ln>
                <a:noFill/>
              </a:ln>
              <a:effectLst/>
            </c:spPr>
            <c:txPr>
              <a:bodyPr rot="0" spcFirstLastPara="0" vertOverflow="ellipsis" vert="horz" wrap="square" lIns="38100" tIns="19050" rIns="38100" bIns="19050" anchor="ctr" anchorCtr="true"/>
              <a:lstStyle/>
              <a:p>
                <a:pPr>
                  <a:defRPr lang="zh-CN" sz="8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Sheet1!$B$1:$F$1</c:f>
              <c:strCache>
                <c:ptCount val="5"/>
                <c:pt idx="0">
                  <c:v>一般公共服务支出（万元）</c:v>
                </c:pt>
                <c:pt idx="1">
                  <c:v>社会保障和就业支出（万元）</c:v>
                </c:pt>
                <c:pt idx="2">
                  <c:v>卫生健康支出（万元）</c:v>
                </c:pt>
                <c:pt idx="3">
                  <c:v>农林水支出（万元）</c:v>
                </c:pt>
                <c:pt idx="4">
                  <c:v>住房保障支出（万元）</c:v>
                </c:pt>
              </c:strCache>
            </c:strRef>
          </c:cat>
          <c:val>
            <c:numRef>
              <c:f>Sheet1!$B$2:$F$2</c:f>
              <c:numCache>
                <c:formatCode>General</c:formatCode>
                <c:ptCount val="5"/>
                <c:pt idx="0">
                  <c:v>516.64</c:v>
                </c:pt>
                <c:pt idx="1">
                  <c:v>141.01</c:v>
                </c:pt>
                <c:pt idx="2">
                  <c:v>26.68</c:v>
                </c:pt>
                <c:pt idx="3">
                  <c:v>50.26</c:v>
                </c:pt>
                <c:pt idx="4">
                  <c:v>33.6</c:v>
                </c:pt>
              </c:numCache>
            </c:numRef>
          </c:val>
        </c:ser>
        <c:dLbls>
          <c:showLegendKey val="false"/>
          <c:showVal val="false"/>
          <c:showCatName val="false"/>
          <c:showSerName val="false"/>
          <c:showPercent val="false"/>
          <c:showBubbleSize val="false"/>
          <c:showLeaderLines val="true"/>
        </c:dLbls>
        <c:firstSliceAng val="0"/>
      </c:pieChart>
      <c:spPr>
        <a:solidFill>
          <a:srgbClr val="C0C0C0"/>
        </a:solidFill>
        <a:ln w="12686">
          <a:solidFill>
            <a:srgbClr val="808080"/>
          </a:solidFill>
          <a:prstDash val="solid"/>
        </a:ln>
      </c:spPr>
    </c:plotArea>
    <c:legend>
      <c:legendPos val="r"/>
      <c:layout>
        <c:manualLayout>
          <c:xMode val="edge"/>
          <c:yMode val="edge"/>
          <c:x val="0.606963632588524"/>
          <c:y val="0.211355306250436"/>
          <c:w val="0.321660720553644"/>
          <c:h val="0.603752612271044"/>
        </c:manualLayout>
      </c:layout>
      <c:overlay val="false"/>
      <c:spPr>
        <a:noFill/>
        <a:ln w="3172">
          <a:solidFill>
            <a:srgbClr val="000000"/>
          </a:solidFill>
          <a:prstDash val="solid"/>
        </a:ln>
      </c:spPr>
      <c:txPr>
        <a:bodyPr rot="0" spcFirstLastPara="0" vertOverflow="ellipsis" vert="horz" wrap="square" anchor="ctr" anchorCtr="true"/>
        <a:lstStyle/>
        <a:p>
          <a:pPr>
            <a:defRPr lang="zh-CN" sz="73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true"/>
    <c:dispBlanksAs val="zero"/>
    <c:showDLblsOverMax val="false"/>
  </c:chart>
  <c:spPr>
    <a:noFill/>
    <a:ln w="9525" cap="flat" cmpd="sng" algn="ctr">
      <a:noFill/>
      <a:prstDash val="solid"/>
      <a:round/>
    </a:ln>
  </c:spPr>
  <c:txPr>
    <a:bodyPr/>
    <a:lstStyle/>
    <a:p>
      <a:pPr>
        <a:defRPr lang="zh-CN" sz="8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234999083702497"/>
          <c:y val="0.1422797653649"/>
          <c:w val="0.269230115576341"/>
          <c:h val="0.694848596945516"/>
        </c:manualLayout>
      </c:layout>
      <c:pieChart>
        <c:varyColors val="true"/>
        <c:ser>
          <c:idx val="0"/>
          <c:order val="0"/>
          <c:tx>
            <c:strRef>
              <c:f>Sheet1!$A$2</c:f>
              <c:strCache>
                <c:ptCount val="1"/>
                <c:pt idx="0">
                  <c:v>2024年</c:v>
                </c:pt>
              </c:strCache>
            </c:strRef>
          </c:tx>
          <c:spPr>
            <a:solidFill>
              <a:srgbClr val="9999FF"/>
            </a:solidFill>
            <a:ln w="12700">
              <a:solidFill>
                <a:srgbClr val="000000"/>
              </a:solidFill>
              <a:prstDash val="solid"/>
            </a:ln>
          </c:spPr>
          <c:explosion val="0"/>
          <c:dPt>
            <c:idx val="0"/>
            <c:bubble3D val="false"/>
            <c:spPr>
              <a:solidFill>
                <a:srgbClr val="9999FF"/>
              </a:solidFill>
              <a:ln w="12700">
                <a:solidFill>
                  <a:srgbClr val="000000"/>
                </a:solidFill>
                <a:prstDash val="solid"/>
              </a:ln>
            </c:spPr>
          </c:dPt>
          <c:dPt>
            <c:idx val="1"/>
            <c:bubble3D val="false"/>
            <c:spPr>
              <a:solidFill>
                <a:srgbClr val="993366"/>
              </a:solidFill>
              <a:ln w="12700">
                <a:solidFill>
                  <a:srgbClr val="000000"/>
                </a:solidFill>
                <a:prstDash val="solid"/>
              </a:ln>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Sheet1!$B$1:$C$1</c:f>
              <c:strCache>
                <c:ptCount val="2"/>
                <c:pt idx="0">
                  <c:v>公务用车购置及运行维护费（万元）</c:v>
                </c:pt>
                <c:pt idx="1">
                  <c:v>公务接待费（万元）</c:v>
                </c:pt>
              </c:strCache>
            </c:strRef>
          </c:cat>
          <c:val>
            <c:numRef>
              <c:f>Sheet1!$B$2:$C$2</c:f>
              <c:numCache>
                <c:formatCode>General</c:formatCode>
                <c:ptCount val="2"/>
                <c:pt idx="0">
                  <c:v>5.365</c:v>
                </c:pt>
                <c:pt idx="1">
                  <c:v>0.713</c:v>
                </c:pt>
              </c:numCache>
            </c:numRef>
          </c:val>
        </c:ser>
        <c:dLbls>
          <c:showLegendKey val="false"/>
          <c:showVal val="false"/>
          <c:showCatName val="false"/>
          <c:showSerName val="false"/>
          <c:showPercent val="false"/>
          <c:showBubbleSize val="false"/>
          <c:showLeaderLines val="true"/>
        </c:dLbls>
        <c:firstSliceAng val="0"/>
      </c:pieChart>
      <c:spPr>
        <a:solidFill>
          <a:srgbClr val="C0C0C0"/>
        </a:solidFill>
        <a:ln w="12700">
          <a:solidFill>
            <a:srgbClr val="808080"/>
          </a:solidFill>
          <a:prstDash val="solid"/>
        </a:ln>
      </c:spPr>
    </c:plotArea>
    <c:legend>
      <c:legendPos val="r"/>
      <c:layout>
        <c:manualLayout>
          <c:xMode val="edge"/>
          <c:yMode val="edge"/>
          <c:x val="0.617761364493977"/>
          <c:y val="0.170063153191302"/>
          <c:w val="0.346605016226007"/>
          <c:h val="0.36177816110169"/>
        </c:manualLayout>
      </c:layout>
      <c:overlay val="false"/>
      <c:spPr>
        <a:noFill/>
        <a:ln w="3175">
          <a:solidFill>
            <a:srgbClr val="000000"/>
          </a:solidFill>
          <a:prstDash val="solid"/>
        </a:ln>
      </c:spPr>
      <c:txPr>
        <a:bodyPr rot="0" spcFirstLastPara="0" vertOverflow="ellipsis" vert="horz" wrap="square" anchor="ctr" anchorCtr="true"/>
        <a:lstStyle/>
        <a:p>
          <a:pPr>
            <a:defRPr lang="zh-CN" sz="82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true"/>
    <c:dispBlanksAs val="zero"/>
    <c:showDLblsOverMax val="false"/>
  </c:chart>
  <c:spPr>
    <a:noFill/>
    <a:ln w="9525" cap="flat" cmpd="sng" algn="ctr">
      <a:noFill/>
      <a:prstDash val="solid"/>
      <a:round/>
    </a:ln>
  </c:spPr>
  <c:txPr>
    <a:bodyPr/>
    <a:lstStyle/>
    <a:p>
      <a:pPr>
        <a:defRPr lang="zh-CN" sz="9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false"/>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40</Pages>
  <Words>3294</Words>
  <Characters>18781</Characters>
  <Lines>156</Lines>
  <Paragraphs>44</Paragraphs>
  <TotalTime>5</TotalTime>
  <ScaleCrop>false</ScaleCrop>
  <LinksUpToDate>false</LinksUpToDate>
  <CharactersWithSpaces>22031</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2020-08-06T01:49:00Z</dcterms:created>
  <dc:creator>曹颖</dc:creator>
  <cp:lastModifiedBy>user</cp:lastModifiedBy>
  <cp:lastPrinted>2025-09-16T09:01:00Z</cp:lastPrinted>
  <dcterms:modified xsi:type="dcterms:W3CDTF">2025-10-17T17:31:49Z</dcterms:modified>
  <dc:title>四川省***</dc:title>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0CBD1F8D72624BAE8F5333386F0E1A56_12</vt:lpwstr>
  </property>
</Properties>
</file>