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sz w:val="72"/>
          <w:szCs w:val="72"/>
        </w:rPr>
      </w:pPr>
      <w:bookmarkStart w:id="0" w:name="_Toc15378441"/>
      <w:bookmarkStart w:id="1" w:name="_Toc15396475"/>
      <w:bookmarkStart w:id="2" w:name="_Toc15306267"/>
      <w:bookmarkStart w:id="3" w:name="_Toc15396597"/>
      <w:bookmarkStart w:id="4" w:name="_Toc15377193"/>
      <w:bookmarkStart w:id="5" w:name="_Toc15377425"/>
    </w:p>
    <w:p>
      <w:pPr>
        <w:spacing w:line="600" w:lineRule="exact"/>
        <w:jc w:val="center"/>
        <w:outlineLvl w:val="0"/>
        <w:rPr>
          <w:rFonts w:hint="eastAsia" w:ascii="方正小标宋简体" w:hAnsi="宋体" w:eastAsia="方正小标宋简体"/>
          <w:sz w:val="72"/>
          <w:szCs w:val="72"/>
        </w:rPr>
      </w:pPr>
    </w:p>
    <w:p>
      <w:pPr>
        <w:spacing w:line="600" w:lineRule="exact"/>
        <w:jc w:val="center"/>
        <w:outlineLvl w:val="0"/>
        <w:rPr>
          <w:rFonts w:hint="eastAsia" w:ascii="方正小标宋简体" w:hAnsi="宋体" w:eastAsia="方正小标宋简体"/>
          <w:sz w:val="72"/>
          <w:szCs w:val="72"/>
        </w:rPr>
      </w:pPr>
    </w:p>
    <w:bookmarkEnd w:id="0"/>
    <w:bookmarkEnd w:id="1"/>
    <w:bookmarkEnd w:id="2"/>
    <w:bookmarkEnd w:id="3"/>
    <w:bookmarkEnd w:id="4"/>
    <w:bookmarkEnd w:id="5"/>
    <w:p>
      <w:pPr>
        <w:pStyle w:val="7"/>
        <w:jc w:val="center"/>
        <w:rPr>
          <w:rFonts w:hint="eastAsia" w:ascii="Times New Roman" w:hAnsi="Times New Roman" w:eastAsia="方正小标宋简体" w:cs="Times New Roman"/>
          <w:color w:val="auto"/>
          <w:spacing w:val="-17"/>
          <w:kern w:val="2"/>
          <w:sz w:val="44"/>
          <w:szCs w:val="44"/>
          <w:highlight w:val="none"/>
          <w:lang w:val="en-US" w:eastAsia="zh-CN" w:bidi="ar-SA"/>
        </w:rPr>
      </w:pPr>
      <w:r>
        <w:rPr>
          <w:rFonts w:hint="eastAsia" w:ascii="Times New Roman" w:hAnsi="Times New Roman" w:eastAsia="方正小标宋简体" w:cs="Times New Roman"/>
          <w:color w:val="auto"/>
          <w:spacing w:val="-17"/>
          <w:kern w:val="2"/>
          <w:sz w:val="44"/>
          <w:szCs w:val="44"/>
          <w:highlight w:val="none"/>
          <w:lang w:val="en-US" w:eastAsia="zh-CN" w:bidi="ar-SA"/>
        </w:rPr>
        <w:t>2024年度四川省攀枝花市民族宗教事务委员会</w:t>
      </w:r>
    </w:p>
    <w:p>
      <w:pPr>
        <w:pStyle w:val="7"/>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决算公开</w:t>
      </w:r>
      <w:r>
        <w:rPr>
          <w:rFonts w:hint="eastAsia" w:ascii="Times New Roman" w:eastAsia="方正小标宋简体" w:cs="Times New Roman"/>
          <w:color w:val="auto"/>
          <w:kern w:val="2"/>
          <w:sz w:val="44"/>
          <w:szCs w:val="44"/>
          <w:highlight w:val="none"/>
          <w:lang w:val="en-US" w:eastAsia="zh-CN" w:bidi="ar-SA"/>
        </w:rPr>
        <w:t>编制</w:t>
      </w:r>
      <w:r>
        <w:rPr>
          <w:rFonts w:hint="eastAsia" w:ascii="Times New Roman" w:hAnsi="Times New Roman" w:eastAsia="方正小标宋简体" w:cs="Times New Roman"/>
          <w:color w:val="auto"/>
          <w:kern w:val="2"/>
          <w:sz w:val="44"/>
          <w:szCs w:val="44"/>
          <w:highlight w:val="none"/>
          <w:lang w:val="en-US" w:eastAsia="zh-CN" w:bidi="ar-SA"/>
        </w:rPr>
        <w:t>说明</w:t>
      </w:r>
    </w:p>
    <w:p>
      <w:pPr>
        <w:widowControl/>
        <w:jc w:val="center"/>
        <w:rPr>
          <w:rFonts w:hint="eastAsia" w:ascii="黑体" w:hAnsi="黑体" w:eastAsia="黑体"/>
          <w:sz w:val="48"/>
          <w:szCs w:val="48"/>
        </w:rPr>
      </w:pPr>
      <w:r>
        <w:rPr>
          <w:rFonts w:ascii="方正小标宋简体" w:hAnsi="宋体" w:eastAsia="方正小标宋简体"/>
          <w:sz w:val="36"/>
          <w:szCs w:val="36"/>
        </w:rPr>
        <w:br w:type="page"/>
      </w:r>
    </w:p>
    <w:sdt>
      <w:sdtPr>
        <w:rPr>
          <w:rFonts w:hint="eastAsia" w:ascii="方正小标宋_GBK" w:hAnsi="方正小标宋_GBK" w:eastAsia="方正小标宋_GBK" w:cs="方正小标宋_GBK"/>
          <w:sz w:val="36"/>
          <w:szCs w:val="36"/>
        </w:rPr>
        <w:id w:val="147454865"/>
        <w:docPartObj>
          <w:docPartGallery w:val="Table of Contents"/>
          <w:docPartUnique/>
        </w:docPartObj>
      </w:sdtPr>
      <w:sdtEndPr>
        <w:rPr>
          <w:rFonts w:hint="eastAsia" w:ascii="仿宋" w:hAnsi="仿宋" w:eastAsia="仿宋" w:cs="方正小标宋_GBK"/>
          <w:bCs/>
          <w:kern w:val="44"/>
          <w:sz w:val="36"/>
          <w:szCs w:val="36"/>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36"/>
              <w:szCs w:val="36"/>
            </w:rPr>
          </w:pPr>
          <w:bookmarkStart w:id="6" w:name="_Toc15377196"/>
          <w:bookmarkStart w:id="7" w:name="_Toc15396599"/>
          <w:r>
            <w:rPr>
              <w:rFonts w:hint="eastAsia" w:ascii="方正小标宋_GBK" w:hAnsi="方正小标宋_GBK" w:eastAsia="方正小标宋_GBK" w:cs="方正小标宋_GBK"/>
              <w:sz w:val="36"/>
              <w:szCs w:val="36"/>
            </w:rPr>
            <w:t>目录</w:t>
          </w:r>
        </w:p>
        <w:p>
          <w:pPr>
            <w:pStyle w:val="14"/>
            <w:rPr>
              <w:rFonts w:hint="eastAsia"/>
            </w:rPr>
          </w:pPr>
          <w:r>
            <w:rPr>
              <w:rFonts w:hint="eastAsia"/>
            </w:rPr>
            <w:t>公开时间：202</w:t>
          </w:r>
          <w:r>
            <w:rPr>
              <w:rFonts w:hint="eastAsia"/>
              <w:lang w:val="en-US" w:eastAsia="zh-CN"/>
            </w:rPr>
            <w:t>5</w:t>
          </w:r>
          <w:r>
            <w:rPr>
              <w:rFonts w:hint="eastAsia"/>
            </w:rPr>
            <w:t>年9月</w:t>
          </w:r>
          <w:r>
            <w:rPr>
              <w:rFonts w:hint="eastAsia"/>
              <w:lang w:val="en-US" w:eastAsia="zh-CN"/>
            </w:rPr>
            <w:t>16</w:t>
          </w:r>
          <w:r>
            <w:rPr>
              <w:rFonts w:hint="eastAsia"/>
            </w:rPr>
            <w:t>日</w:t>
          </w:r>
        </w:p>
        <w:p>
          <w:pPr>
            <w:pStyle w:val="14"/>
            <w:tabs>
              <w:tab w:val="right" w:leader="dot" w:pos="8306"/>
              <w:tab w:val="clear" w:pos="8296"/>
            </w:tabs>
            <w:rPr>
              <w:bCs/>
              <w:kern w:val="44"/>
              <w:sz w:val="24"/>
            </w:rPr>
          </w:pPr>
        </w:p>
        <w:p>
          <w:pPr>
            <w:pStyle w:val="14"/>
            <w:tabs>
              <w:tab w:val="right" w:leader="dot" w:pos="8306"/>
              <w:tab w:val="clear" w:pos="8296"/>
            </w:tabs>
            <w:rPr>
              <w:sz w:val="24"/>
              <w:szCs w:val="24"/>
            </w:rPr>
          </w:pPr>
          <w:r>
            <w:rPr>
              <w:bCs/>
              <w:kern w:val="44"/>
              <w:sz w:val="24"/>
              <w:szCs w:val="24"/>
            </w:rPr>
            <w:fldChar w:fldCharType="begin"/>
          </w:r>
          <w:r>
            <w:rPr>
              <w:bCs/>
              <w:kern w:val="44"/>
              <w:sz w:val="24"/>
              <w:szCs w:val="24"/>
            </w:rPr>
            <w:instrText xml:space="preserve">TOC \o "1-3" \h \u </w:instrText>
          </w:r>
          <w:r>
            <w:rPr>
              <w:bCs/>
              <w:kern w:val="44"/>
              <w:sz w:val="24"/>
              <w:szCs w:val="24"/>
            </w:rPr>
            <w:fldChar w:fldCharType="separate"/>
          </w:r>
          <w:r>
            <w:rPr>
              <w:bCs/>
              <w:kern w:val="44"/>
              <w:sz w:val="24"/>
              <w:szCs w:val="24"/>
            </w:rPr>
            <w:fldChar w:fldCharType="begin"/>
          </w:r>
          <w:r>
            <w:rPr>
              <w:bCs/>
              <w:kern w:val="44"/>
              <w:sz w:val="24"/>
              <w:szCs w:val="24"/>
            </w:rPr>
            <w:instrText xml:space="preserve"> HYPERLINK \l _Toc27963 </w:instrText>
          </w:r>
          <w:r>
            <w:rPr>
              <w:bCs/>
              <w:kern w:val="44"/>
              <w:sz w:val="24"/>
              <w:szCs w:val="24"/>
            </w:rPr>
            <w:fldChar w:fldCharType="separate"/>
          </w:r>
          <w:r>
            <w:rPr>
              <w:rFonts w:hint="eastAsia" w:ascii="黑体" w:hAnsi="黑体" w:eastAsia="黑体"/>
              <w:sz w:val="24"/>
              <w:szCs w:val="24"/>
            </w:rPr>
            <w:t>第一部分 单位</w:t>
          </w:r>
          <w:r>
            <w:rPr>
              <w:rFonts w:hint="eastAsia" w:ascii="黑体" w:hAnsi="黑体" w:eastAsia="黑体"/>
              <w:bCs w:val="0"/>
              <w:sz w:val="24"/>
              <w:szCs w:val="24"/>
            </w:rPr>
            <w:t>概况</w:t>
          </w:r>
          <w:r>
            <w:rPr>
              <w:sz w:val="24"/>
              <w:szCs w:val="24"/>
            </w:rPr>
            <w:tab/>
          </w:r>
          <w:r>
            <w:rPr>
              <w:sz w:val="24"/>
              <w:szCs w:val="24"/>
            </w:rPr>
            <w:fldChar w:fldCharType="begin"/>
          </w:r>
          <w:r>
            <w:rPr>
              <w:sz w:val="24"/>
              <w:szCs w:val="24"/>
            </w:rPr>
            <w:instrText xml:space="preserve"> PAGEREF _Toc27963 </w:instrText>
          </w:r>
          <w:r>
            <w:rPr>
              <w:sz w:val="24"/>
              <w:szCs w:val="24"/>
            </w:rPr>
            <w:fldChar w:fldCharType="separate"/>
          </w:r>
          <w:r>
            <w:rPr>
              <w:sz w:val="24"/>
              <w:szCs w:val="24"/>
            </w:rPr>
            <w:t>4</w:t>
          </w:r>
          <w:r>
            <w:rPr>
              <w:sz w:val="24"/>
              <w:szCs w:val="24"/>
            </w:rPr>
            <w:fldChar w:fldCharType="end"/>
          </w:r>
          <w:r>
            <w:rPr>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_Toc13228 </w:instrText>
          </w:r>
          <w:r>
            <w:rPr>
              <w:rFonts w:ascii="仿宋" w:hAnsi="仿宋" w:eastAsia="仿宋"/>
              <w:bCs/>
              <w:kern w:val="44"/>
              <w:sz w:val="24"/>
              <w:szCs w:val="24"/>
            </w:rPr>
            <w:fldChar w:fldCharType="separate"/>
          </w:r>
          <w:r>
            <w:rPr>
              <w:rFonts w:hint="eastAsia" w:ascii="黑体" w:hAnsi="黑体" w:eastAsia="黑体"/>
              <w:sz w:val="24"/>
              <w:szCs w:val="24"/>
            </w:rPr>
            <w:t>一、主要职责</w:t>
          </w:r>
          <w:r>
            <w:rPr>
              <w:sz w:val="24"/>
              <w:szCs w:val="24"/>
            </w:rPr>
            <w:tab/>
          </w:r>
          <w:r>
            <w:rPr>
              <w:sz w:val="24"/>
              <w:szCs w:val="24"/>
            </w:rPr>
            <w:fldChar w:fldCharType="begin"/>
          </w:r>
          <w:r>
            <w:rPr>
              <w:sz w:val="24"/>
              <w:szCs w:val="24"/>
            </w:rPr>
            <w:instrText xml:space="preserve"> PAGEREF _Toc13228 </w:instrText>
          </w:r>
          <w:r>
            <w:rPr>
              <w:sz w:val="24"/>
              <w:szCs w:val="24"/>
            </w:rPr>
            <w:fldChar w:fldCharType="separate"/>
          </w:r>
          <w:r>
            <w:rPr>
              <w:sz w:val="24"/>
              <w:szCs w:val="24"/>
            </w:rPr>
            <w:t>4</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_Toc2427 </w:instrText>
          </w:r>
          <w:r>
            <w:rPr>
              <w:rFonts w:ascii="仿宋" w:hAnsi="仿宋" w:eastAsia="仿宋"/>
              <w:bCs/>
              <w:kern w:val="44"/>
              <w:sz w:val="24"/>
              <w:szCs w:val="24"/>
            </w:rPr>
            <w:fldChar w:fldCharType="separate"/>
          </w:r>
          <w:r>
            <w:rPr>
              <w:rFonts w:hint="eastAsia" w:ascii="黑体" w:hAnsi="黑体" w:eastAsia="黑体"/>
              <w:sz w:val="24"/>
              <w:szCs w:val="24"/>
            </w:rPr>
            <w:t>二、机构设置</w:t>
          </w:r>
          <w:r>
            <w:rPr>
              <w:sz w:val="24"/>
              <w:szCs w:val="24"/>
            </w:rPr>
            <w:tab/>
          </w:r>
          <w:r>
            <w:rPr>
              <w:sz w:val="24"/>
              <w:szCs w:val="24"/>
            </w:rPr>
            <w:fldChar w:fldCharType="begin"/>
          </w:r>
          <w:r>
            <w:rPr>
              <w:sz w:val="24"/>
              <w:szCs w:val="24"/>
            </w:rPr>
            <w:instrText xml:space="preserve"> PAGEREF _Toc2427 </w:instrText>
          </w:r>
          <w:r>
            <w:rPr>
              <w:sz w:val="24"/>
              <w:szCs w:val="24"/>
            </w:rPr>
            <w:fldChar w:fldCharType="separate"/>
          </w:r>
          <w:r>
            <w:rPr>
              <w:sz w:val="24"/>
              <w:szCs w:val="24"/>
            </w:rPr>
            <w:t>4</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_Toc22679 </w:instrText>
          </w:r>
          <w:r>
            <w:rPr>
              <w:rFonts w:ascii="仿宋" w:hAnsi="仿宋" w:eastAsia="仿宋"/>
              <w:bCs/>
              <w:kern w:val="44"/>
              <w:sz w:val="24"/>
              <w:szCs w:val="24"/>
            </w:rPr>
            <w:fldChar w:fldCharType="separate"/>
          </w:r>
          <w:r>
            <w:rPr>
              <w:rFonts w:hint="eastAsia" w:ascii="黑体" w:hAnsi="黑体" w:eastAsia="黑体"/>
              <w:sz w:val="24"/>
              <w:szCs w:val="24"/>
            </w:rPr>
            <w:t>第二部分 202</w:t>
          </w:r>
          <w:r>
            <w:rPr>
              <w:rFonts w:hint="eastAsia" w:ascii="黑体" w:hAnsi="黑体" w:eastAsia="黑体"/>
              <w:sz w:val="24"/>
              <w:szCs w:val="24"/>
              <w:lang w:val="en-US" w:eastAsia="zh-CN"/>
            </w:rPr>
            <w:t>4</w:t>
          </w:r>
          <w:r>
            <w:rPr>
              <w:rFonts w:hint="eastAsia" w:ascii="黑体" w:hAnsi="黑体" w:eastAsia="黑体"/>
              <w:sz w:val="24"/>
              <w:szCs w:val="24"/>
            </w:rPr>
            <w:t>年度单位</w:t>
          </w:r>
          <w:r>
            <w:rPr>
              <w:rFonts w:hint="eastAsia" w:ascii="黑体" w:hAnsi="黑体" w:eastAsia="黑体"/>
              <w:bCs/>
              <w:sz w:val="24"/>
              <w:szCs w:val="24"/>
            </w:rPr>
            <w:t>决算情况说明</w:t>
          </w:r>
          <w:r>
            <w:rPr>
              <w:sz w:val="24"/>
              <w:szCs w:val="24"/>
            </w:rPr>
            <w:tab/>
          </w:r>
          <w:r>
            <w:rPr>
              <w:sz w:val="24"/>
              <w:szCs w:val="24"/>
            </w:rPr>
            <w:fldChar w:fldCharType="begin"/>
          </w:r>
          <w:r>
            <w:rPr>
              <w:sz w:val="24"/>
              <w:szCs w:val="24"/>
            </w:rPr>
            <w:instrText xml:space="preserve"> PAGEREF _Toc22679 </w:instrText>
          </w:r>
          <w:r>
            <w:rPr>
              <w:sz w:val="24"/>
              <w:szCs w:val="24"/>
            </w:rPr>
            <w:fldChar w:fldCharType="separate"/>
          </w:r>
          <w:r>
            <w:rPr>
              <w:sz w:val="24"/>
              <w:szCs w:val="24"/>
            </w:rPr>
            <w:t>6</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_Toc21975 </w:instrText>
          </w:r>
          <w:r>
            <w:rPr>
              <w:rFonts w:ascii="仿宋" w:hAnsi="仿宋" w:eastAsia="仿宋"/>
              <w:bCs/>
              <w:kern w:val="44"/>
              <w:sz w:val="24"/>
              <w:szCs w:val="24"/>
            </w:rPr>
            <w:fldChar w:fldCharType="separate"/>
          </w:r>
          <w:r>
            <w:rPr>
              <w:rFonts w:hint="eastAsia" w:ascii="黑体" w:hAnsi="黑体" w:eastAsia="黑体"/>
              <w:sz w:val="24"/>
              <w:szCs w:val="24"/>
            </w:rPr>
            <w:t>一、收入支出决算总体情况说明</w:t>
          </w:r>
          <w:r>
            <w:rPr>
              <w:sz w:val="24"/>
              <w:szCs w:val="24"/>
            </w:rPr>
            <w:tab/>
          </w:r>
          <w:r>
            <w:rPr>
              <w:sz w:val="24"/>
              <w:szCs w:val="24"/>
            </w:rPr>
            <w:fldChar w:fldCharType="begin"/>
          </w:r>
          <w:r>
            <w:rPr>
              <w:sz w:val="24"/>
              <w:szCs w:val="24"/>
            </w:rPr>
            <w:instrText xml:space="preserve"> PAGEREF _Toc21975 </w:instrText>
          </w:r>
          <w:r>
            <w:rPr>
              <w:sz w:val="24"/>
              <w:szCs w:val="24"/>
            </w:rPr>
            <w:fldChar w:fldCharType="separate"/>
          </w:r>
          <w:r>
            <w:rPr>
              <w:sz w:val="24"/>
              <w:szCs w:val="24"/>
            </w:rPr>
            <w:t>6</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_Toc18891 </w:instrText>
          </w:r>
          <w:r>
            <w:rPr>
              <w:rFonts w:ascii="仿宋" w:hAnsi="仿宋" w:eastAsia="仿宋"/>
              <w:bCs/>
              <w:kern w:val="44"/>
              <w:sz w:val="24"/>
              <w:szCs w:val="24"/>
            </w:rPr>
            <w:fldChar w:fldCharType="separate"/>
          </w:r>
          <w:r>
            <w:rPr>
              <w:rFonts w:hint="eastAsia" w:ascii="黑体" w:hAnsi="黑体" w:eastAsia="黑体"/>
              <w:sz w:val="24"/>
              <w:szCs w:val="24"/>
            </w:rPr>
            <w:t>二、收</w:t>
          </w:r>
          <w:r>
            <w:rPr>
              <w:rFonts w:hint="eastAsia" w:ascii="黑体" w:hAnsi="黑体" w:eastAsia="黑体"/>
              <w:bCs w:val="0"/>
              <w:sz w:val="24"/>
              <w:szCs w:val="24"/>
            </w:rPr>
            <w:t>入决算情况说明</w:t>
          </w:r>
          <w:r>
            <w:rPr>
              <w:sz w:val="24"/>
              <w:szCs w:val="24"/>
            </w:rPr>
            <w:tab/>
          </w:r>
          <w:r>
            <w:rPr>
              <w:sz w:val="24"/>
              <w:szCs w:val="24"/>
            </w:rPr>
            <w:fldChar w:fldCharType="begin"/>
          </w:r>
          <w:r>
            <w:rPr>
              <w:sz w:val="24"/>
              <w:szCs w:val="24"/>
            </w:rPr>
            <w:instrText xml:space="preserve"> PAGEREF _Toc18891 </w:instrText>
          </w:r>
          <w:r>
            <w:rPr>
              <w:sz w:val="24"/>
              <w:szCs w:val="24"/>
            </w:rPr>
            <w:fldChar w:fldCharType="separate"/>
          </w:r>
          <w:r>
            <w:rPr>
              <w:sz w:val="24"/>
              <w:szCs w:val="24"/>
            </w:rPr>
            <w:t>6</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_Toc9093 </w:instrText>
          </w:r>
          <w:r>
            <w:rPr>
              <w:rFonts w:ascii="仿宋" w:hAnsi="仿宋" w:eastAsia="仿宋"/>
              <w:bCs/>
              <w:kern w:val="44"/>
              <w:sz w:val="24"/>
              <w:szCs w:val="24"/>
            </w:rPr>
            <w:fldChar w:fldCharType="separate"/>
          </w:r>
          <w:r>
            <w:rPr>
              <w:rFonts w:hint="eastAsia" w:ascii="黑体" w:hAnsi="黑体" w:eastAsia="黑体"/>
              <w:sz w:val="24"/>
              <w:szCs w:val="24"/>
            </w:rPr>
            <w:t>三、支</w:t>
          </w:r>
          <w:r>
            <w:rPr>
              <w:rFonts w:hint="eastAsia" w:ascii="黑体" w:hAnsi="黑体" w:eastAsia="黑体"/>
              <w:bCs w:val="0"/>
              <w:sz w:val="24"/>
              <w:szCs w:val="24"/>
            </w:rPr>
            <w:t>出决算情况说明</w:t>
          </w:r>
          <w:r>
            <w:rPr>
              <w:sz w:val="24"/>
              <w:szCs w:val="24"/>
            </w:rPr>
            <w:tab/>
          </w:r>
          <w:r>
            <w:rPr>
              <w:sz w:val="24"/>
              <w:szCs w:val="24"/>
            </w:rPr>
            <w:fldChar w:fldCharType="begin"/>
          </w:r>
          <w:r>
            <w:rPr>
              <w:sz w:val="24"/>
              <w:szCs w:val="24"/>
            </w:rPr>
            <w:instrText xml:space="preserve"> PAGEREF _Toc9093 </w:instrText>
          </w:r>
          <w:r>
            <w:rPr>
              <w:sz w:val="24"/>
              <w:szCs w:val="24"/>
            </w:rPr>
            <w:fldChar w:fldCharType="separate"/>
          </w:r>
          <w:r>
            <w:rPr>
              <w:sz w:val="24"/>
              <w:szCs w:val="24"/>
            </w:rPr>
            <w:t>7</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_Toc22563 </w:instrText>
          </w:r>
          <w:r>
            <w:rPr>
              <w:rFonts w:ascii="仿宋" w:hAnsi="仿宋" w:eastAsia="仿宋"/>
              <w:bCs/>
              <w:kern w:val="44"/>
              <w:sz w:val="24"/>
              <w:szCs w:val="24"/>
            </w:rPr>
            <w:fldChar w:fldCharType="separate"/>
          </w:r>
          <w:r>
            <w:rPr>
              <w:rFonts w:hint="eastAsia" w:ascii="黑体" w:hAnsi="黑体" w:eastAsia="黑体"/>
              <w:sz w:val="24"/>
              <w:szCs w:val="24"/>
            </w:rPr>
            <w:t>四、财</w:t>
          </w:r>
          <w:r>
            <w:rPr>
              <w:rFonts w:hint="eastAsia" w:ascii="黑体" w:hAnsi="黑体" w:eastAsia="黑体"/>
              <w:bCs w:val="0"/>
              <w:sz w:val="24"/>
              <w:szCs w:val="24"/>
            </w:rPr>
            <w:t>政拨款收入支出决算总体情况说明</w:t>
          </w:r>
          <w:r>
            <w:rPr>
              <w:sz w:val="24"/>
              <w:szCs w:val="24"/>
            </w:rPr>
            <w:tab/>
          </w:r>
          <w:r>
            <w:rPr>
              <w:sz w:val="24"/>
              <w:szCs w:val="24"/>
            </w:rPr>
            <w:fldChar w:fldCharType="begin"/>
          </w:r>
          <w:r>
            <w:rPr>
              <w:sz w:val="24"/>
              <w:szCs w:val="24"/>
            </w:rPr>
            <w:instrText xml:space="preserve"> PAGEREF _Toc22563 </w:instrText>
          </w:r>
          <w:r>
            <w:rPr>
              <w:sz w:val="24"/>
              <w:szCs w:val="24"/>
            </w:rPr>
            <w:fldChar w:fldCharType="separate"/>
          </w:r>
          <w:r>
            <w:rPr>
              <w:sz w:val="24"/>
              <w:szCs w:val="24"/>
            </w:rPr>
            <w:t>7</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_Toc18403 </w:instrText>
          </w:r>
          <w:r>
            <w:rPr>
              <w:rFonts w:ascii="仿宋" w:hAnsi="仿宋" w:eastAsia="仿宋"/>
              <w:bCs/>
              <w:kern w:val="44"/>
              <w:sz w:val="24"/>
              <w:szCs w:val="24"/>
            </w:rPr>
            <w:fldChar w:fldCharType="separate"/>
          </w:r>
          <w:r>
            <w:rPr>
              <w:rFonts w:hint="eastAsia" w:ascii="黑体" w:hAnsi="黑体" w:eastAsia="黑体"/>
              <w:sz w:val="24"/>
              <w:szCs w:val="24"/>
            </w:rPr>
            <w:t>五、一</w:t>
          </w:r>
          <w:r>
            <w:rPr>
              <w:rFonts w:hint="eastAsia" w:ascii="黑体" w:hAnsi="黑体" w:eastAsia="黑体"/>
              <w:bCs w:val="0"/>
              <w:sz w:val="24"/>
              <w:szCs w:val="24"/>
            </w:rPr>
            <w:t>般公共预算财政拨款支出决算情况说明</w:t>
          </w:r>
          <w:r>
            <w:rPr>
              <w:sz w:val="24"/>
              <w:szCs w:val="24"/>
            </w:rPr>
            <w:tab/>
          </w:r>
          <w:r>
            <w:rPr>
              <w:sz w:val="24"/>
              <w:szCs w:val="24"/>
            </w:rPr>
            <w:fldChar w:fldCharType="begin"/>
          </w:r>
          <w:r>
            <w:rPr>
              <w:sz w:val="24"/>
              <w:szCs w:val="24"/>
            </w:rPr>
            <w:instrText xml:space="preserve"> PAGEREF _Toc18403 </w:instrText>
          </w:r>
          <w:r>
            <w:rPr>
              <w:sz w:val="24"/>
              <w:szCs w:val="24"/>
            </w:rPr>
            <w:fldChar w:fldCharType="separate"/>
          </w:r>
          <w:r>
            <w:rPr>
              <w:sz w:val="24"/>
              <w:szCs w:val="24"/>
            </w:rPr>
            <w:t>8</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_Toc21639 </w:instrText>
          </w:r>
          <w:r>
            <w:rPr>
              <w:rFonts w:ascii="仿宋" w:hAnsi="仿宋" w:eastAsia="仿宋"/>
              <w:bCs/>
              <w:kern w:val="44"/>
              <w:sz w:val="24"/>
              <w:szCs w:val="24"/>
            </w:rPr>
            <w:fldChar w:fldCharType="separate"/>
          </w:r>
          <w:r>
            <w:rPr>
              <w:rFonts w:hint="eastAsia" w:ascii="楷体_GB2312" w:eastAsia="楷体_GB2312"/>
              <w:sz w:val="24"/>
              <w:szCs w:val="24"/>
            </w:rPr>
            <w:t>（一）一般公共预算财政拨款支出决算总体情况</w:t>
          </w:r>
          <w:r>
            <w:rPr>
              <w:sz w:val="24"/>
              <w:szCs w:val="24"/>
            </w:rPr>
            <w:tab/>
          </w:r>
          <w:r>
            <w:rPr>
              <w:sz w:val="24"/>
              <w:szCs w:val="24"/>
            </w:rPr>
            <w:fldChar w:fldCharType="begin"/>
          </w:r>
          <w:r>
            <w:rPr>
              <w:sz w:val="24"/>
              <w:szCs w:val="24"/>
            </w:rPr>
            <w:instrText xml:space="preserve"> PAGEREF _Toc21639 </w:instrText>
          </w:r>
          <w:r>
            <w:rPr>
              <w:sz w:val="24"/>
              <w:szCs w:val="24"/>
            </w:rPr>
            <w:fldChar w:fldCharType="separate"/>
          </w:r>
          <w:r>
            <w:rPr>
              <w:sz w:val="24"/>
              <w:szCs w:val="24"/>
            </w:rPr>
            <w:t>8</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_Toc19679 </w:instrText>
          </w:r>
          <w:r>
            <w:rPr>
              <w:rFonts w:ascii="仿宋" w:hAnsi="仿宋" w:eastAsia="仿宋"/>
              <w:bCs/>
              <w:kern w:val="44"/>
              <w:sz w:val="24"/>
              <w:szCs w:val="24"/>
            </w:rPr>
            <w:fldChar w:fldCharType="separate"/>
          </w:r>
          <w:r>
            <w:rPr>
              <w:rFonts w:hint="eastAsia" w:ascii="楷体_GB2312" w:eastAsia="楷体_GB2312"/>
              <w:sz w:val="24"/>
              <w:szCs w:val="24"/>
            </w:rPr>
            <w:t>（二）一般公共预算财政拨款支出决算结构情况</w:t>
          </w:r>
          <w:r>
            <w:rPr>
              <w:sz w:val="24"/>
              <w:szCs w:val="24"/>
            </w:rPr>
            <w:tab/>
          </w:r>
          <w:r>
            <w:rPr>
              <w:sz w:val="24"/>
              <w:szCs w:val="24"/>
            </w:rPr>
            <w:fldChar w:fldCharType="begin"/>
          </w:r>
          <w:r>
            <w:rPr>
              <w:sz w:val="24"/>
              <w:szCs w:val="24"/>
            </w:rPr>
            <w:instrText xml:space="preserve"> PAGEREF _Toc19679 </w:instrText>
          </w:r>
          <w:r>
            <w:rPr>
              <w:sz w:val="24"/>
              <w:szCs w:val="24"/>
            </w:rPr>
            <w:fldChar w:fldCharType="separate"/>
          </w:r>
          <w:r>
            <w:rPr>
              <w:sz w:val="24"/>
              <w:szCs w:val="24"/>
            </w:rPr>
            <w:t>8</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_Toc29838 </w:instrText>
          </w:r>
          <w:r>
            <w:rPr>
              <w:rFonts w:ascii="仿宋" w:hAnsi="仿宋" w:eastAsia="仿宋"/>
              <w:bCs/>
              <w:kern w:val="44"/>
              <w:sz w:val="24"/>
              <w:szCs w:val="24"/>
            </w:rPr>
            <w:fldChar w:fldCharType="separate"/>
          </w:r>
          <w:r>
            <w:rPr>
              <w:rFonts w:hint="eastAsia" w:ascii="楷体_GB2312" w:eastAsia="楷体_GB2312"/>
              <w:sz w:val="24"/>
              <w:szCs w:val="24"/>
            </w:rPr>
            <w:t>（三）一般公共预算财政拨款支出决算具体情况</w:t>
          </w:r>
          <w:r>
            <w:rPr>
              <w:sz w:val="24"/>
              <w:szCs w:val="24"/>
            </w:rPr>
            <w:tab/>
          </w:r>
          <w:r>
            <w:rPr>
              <w:sz w:val="24"/>
              <w:szCs w:val="24"/>
            </w:rPr>
            <w:fldChar w:fldCharType="begin"/>
          </w:r>
          <w:r>
            <w:rPr>
              <w:sz w:val="24"/>
              <w:szCs w:val="24"/>
            </w:rPr>
            <w:instrText xml:space="preserve"> PAGEREF _Toc29838 </w:instrText>
          </w:r>
          <w:r>
            <w:rPr>
              <w:sz w:val="24"/>
              <w:szCs w:val="24"/>
            </w:rPr>
            <w:fldChar w:fldCharType="separate"/>
          </w:r>
          <w:r>
            <w:rPr>
              <w:sz w:val="24"/>
              <w:szCs w:val="24"/>
            </w:rPr>
            <w:t>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_Toc22730 </w:instrText>
          </w:r>
          <w:r>
            <w:rPr>
              <w:rFonts w:ascii="仿宋" w:hAnsi="仿宋" w:eastAsia="仿宋"/>
              <w:bCs/>
              <w:kern w:val="44"/>
              <w:sz w:val="24"/>
              <w:szCs w:val="24"/>
            </w:rPr>
            <w:fldChar w:fldCharType="separate"/>
          </w:r>
          <w:r>
            <w:rPr>
              <w:rFonts w:hint="eastAsia" w:ascii="黑体" w:hAnsi="黑体" w:eastAsia="黑体"/>
              <w:sz w:val="24"/>
              <w:szCs w:val="24"/>
            </w:rPr>
            <w:t>六、一</w:t>
          </w:r>
          <w:r>
            <w:rPr>
              <w:rFonts w:hint="eastAsia" w:ascii="黑体" w:hAnsi="黑体" w:eastAsia="黑体"/>
              <w:bCs w:val="0"/>
              <w:sz w:val="24"/>
              <w:szCs w:val="24"/>
            </w:rPr>
            <w:t>般公共预算财政拨款基本支出决算情况说明</w:t>
          </w:r>
          <w:r>
            <w:rPr>
              <w:sz w:val="24"/>
              <w:szCs w:val="24"/>
            </w:rPr>
            <w:tab/>
          </w:r>
          <w:r>
            <w:rPr>
              <w:sz w:val="24"/>
              <w:szCs w:val="24"/>
            </w:rPr>
            <w:fldChar w:fldCharType="begin"/>
          </w:r>
          <w:r>
            <w:rPr>
              <w:sz w:val="24"/>
              <w:szCs w:val="24"/>
            </w:rPr>
            <w:instrText xml:space="preserve"> PAGEREF _Toc22730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_Toc11960 </w:instrText>
          </w:r>
          <w:r>
            <w:rPr>
              <w:rFonts w:ascii="仿宋" w:hAnsi="仿宋" w:eastAsia="仿宋"/>
              <w:bCs/>
              <w:kern w:val="44"/>
              <w:sz w:val="24"/>
              <w:szCs w:val="24"/>
            </w:rPr>
            <w:fldChar w:fldCharType="separate"/>
          </w:r>
          <w:r>
            <w:rPr>
              <w:rFonts w:hint="eastAsia" w:ascii="黑体" w:hAnsi="黑体" w:eastAsia="黑体"/>
              <w:sz w:val="24"/>
              <w:szCs w:val="24"/>
            </w:rPr>
            <w:t>七、</w:t>
          </w:r>
          <w:r>
            <w:rPr>
              <w:rFonts w:hint="eastAsia" w:ascii="黑体" w:hAnsi="黑体" w:eastAsia="黑体"/>
              <w:bCs w:val="0"/>
              <w:sz w:val="24"/>
              <w:szCs w:val="24"/>
            </w:rPr>
            <w:t>财政拨款“三公”经费支出决算情况说明</w:t>
          </w:r>
          <w:r>
            <w:rPr>
              <w:sz w:val="24"/>
              <w:szCs w:val="24"/>
            </w:rPr>
            <w:tab/>
          </w:r>
          <w:r>
            <w:rPr>
              <w:sz w:val="24"/>
              <w:szCs w:val="24"/>
            </w:rPr>
            <w:fldChar w:fldCharType="begin"/>
          </w:r>
          <w:r>
            <w:rPr>
              <w:sz w:val="24"/>
              <w:szCs w:val="24"/>
            </w:rPr>
            <w:instrText xml:space="preserve"> PAGEREF _Toc11960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_Toc22904 </w:instrText>
          </w:r>
          <w:r>
            <w:rPr>
              <w:rFonts w:ascii="仿宋" w:hAnsi="仿宋" w:eastAsia="仿宋"/>
              <w:bCs/>
              <w:kern w:val="44"/>
              <w:sz w:val="24"/>
              <w:szCs w:val="24"/>
            </w:rPr>
            <w:fldChar w:fldCharType="separate"/>
          </w:r>
          <w:r>
            <w:rPr>
              <w:rFonts w:hint="eastAsia" w:ascii="楷体_GB2312" w:eastAsia="楷体_GB2312"/>
              <w:sz w:val="24"/>
              <w:szCs w:val="24"/>
            </w:rPr>
            <w:t>（一）“三公”经费财政拨款支出决算总体情况说明</w:t>
          </w:r>
          <w:r>
            <w:rPr>
              <w:sz w:val="24"/>
              <w:szCs w:val="24"/>
            </w:rPr>
            <w:tab/>
          </w:r>
          <w:r>
            <w:rPr>
              <w:sz w:val="24"/>
              <w:szCs w:val="24"/>
            </w:rPr>
            <w:fldChar w:fldCharType="begin"/>
          </w:r>
          <w:r>
            <w:rPr>
              <w:sz w:val="24"/>
              <w:szCs w:val="24"/>
            </w:rPr>
            <w:instrText xml:space="preserve"> PAGEREF _Toc22904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_Toc30287 </w:instrText>
          </w:r>
          <w:r>
            <w:rPr>
              <w:rFonts w:ascii="仿宋" w:hAnsi="仿宋" w:eastAsia="仿宋"/>
              <w:bCs/>
              <w:kern w:val="44"/>
              <w:sz w:val="24"/>
              <w:szCs w:val="24"/>
            </w:rPr>
            <w:fldChar w:fldCharType="separate"/>
          </w:r>
          <w:r>
            <w:rPr>
              <w:rFonts w:hint="eastAsia" w:ascii="楷体_GB2312" w:eastAsia="楷体_GB2312"/>
              <w:sz w:val="24"/>
              <w:szCs w:val="24"/>
            </w:rPr>
            <w:t>（二）“三公”经费财政拨款支出决算具体情况说明</w:t>
          </w:r>
          <w:r>
            <w:rPr>
              <w:sz w:val="24"/>
              <w:szCs w:val="24"/>
            </w:rPr>
            <w:tab/>
          </w:r>
          <w:r>
            <w:rPr>
              <w:sz w:val="24"/>
              <w:szCs w:val="24"/>
            </w:rPr>
            <w:fldChar w:fldCharType="begin"/>
          </w:r>
          <w:r>
            <w:rPr>
              <w:sz w:val="24"/>
              <w:szCs w:val="24"/>
            </w:rPr>
            <w:instrText xml:space="preserve"> PAGEREF _Toc30287 </w:instrText>
          </w:r>
          <w:r>
            <w:rPr>
              <w:sz w:val="24"/>
              <w:szCs w:val="24"/>
            </w:rPr>
            <w:fldChar w:fldCharType="separate"/>
          </w:r>
          <w:r>
            <w:rPr>
              <w:sz w:val="24"/>
              <w:szCs w:val="24"/>
            </w:rPr>
            <w:t>11</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_Toc8314 </w:instrText>
          </w:r>
          <w:r>
            <w:rPr>
              <w:rFonts w:ascii="仿宋" w:hAnsi="仿宋" w:eastAsia="仿宋"/>
              <w:bCs/>
              <w:kern w:val="44"/>
              <w:sz w:val="24"/>
              <w:szCs w:val="24"/>
            </w:rPr>
            <w:fldChar w:fldCharType="separate"/>
          </w:r>
          <w:r>
            <w:rPr>
              <w:rFonts w:hint="eastAsia" w:ascii="黑体" w:hAnsi="黑体" w:eastAsia="黑体"/>
              <w:sz w:val="24"/>
              <w:szCs w:val="24"/>
            </w:rPr>
            <w:t>八、</w:t>
          </w:r>
          <w:r>
            <w:rPr>
              <w:rFonts w:hint="eastAsia" w:ascii="黑体" w:hAnsi="黑体" w:eastAsia="黑体"/>
              <w:bCs w:val="0"/>
              <w:sz w:val="24"/>
              <w:szCs w:val="24"/>
            </w:rPr>
            <w:t>政府性基金预算支出决算情况说明</w:t>
          </w:r>
          <w:r>
            <w:rPr>
              <w:sz w:val="24"/>
              <w:szCs w:val="24"/>
            </w:rPr>
            <w:tab/>
          </w:r>
          <w:r>
            <w:rPr>
              <w:sz w:val="24"/>
              <w:szCs w:val="24"/>
            </w:rPr>
            <w:fldChar w:fldCharType="begin"/>
          </w:r>
          <w:r>
            <w:rPr>
              <w:sz w:val="24"/>
              <w:szCs w:val="24"/>
            </w:rPr>
            <w:instrText xml:space="preserve"> PAGEREF _Toc8314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_Toc22551 </w:instrText>
          </w:r>
          <w:r>
            <w:rPr>
              <w:rFonts w:ascii="仿宋" w:hAnsi="仿宋" w:eastAsia="仿宋"/>
              <w:bCs/>
              <w:kern w:val="44"/>
              <w:sz w:val="24"/>
              <w:szCs w:val="24"/>
            </w:rPr>
            <w:fldChar w:fldCharType="separate"/>
          </w:r>
          <w:r>
            <w:rPr>
              <w:rFonts w:hint="eastAsia" w:ascii="黑体" w:hAnsi="黑体" w:eastAsia="黑体"/>
              <w:bCs w:val="0"/>
              <w:sz w:val="24"/>
              <w:szCs w:val="24"/>
            </w:rPr>
            <w:t>九、国有资本经营预算支出决算情况说明</w:t>
          </w:r>
          <w:r>
            <w:rPr>
              <w:sz w:val="24"/>
              <w:szCs w:val="24"/>
            </w:rPr>
            <w:tab/>
          </w:r>
          <w:r>
            <w:rPr>
              <w:sz w:val="24"/>
              <w:szCs w:val="24"/>
            </w:rPr>
            <w:fldChar w:fldCharType="begin"/>
          </w:r>
          <w:r>
            <w:rPr>
              <w:sz w:val="24"/>
              <w:szCs w:val="24"/>
            </w:rPr>
            <w:instrText xml:space="preserve"> PAGEREF _Toc22551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_Toc9811 </w:instrText>
          </w:r>
          <w:r>
            <w:rPr>
              <w:rFonts w:ascii="仿宋" w:hAnsi="仿宋" w:eastAsia="仿宋"/>
              <w:bCs/>
              <w:kern w:val="44"/>
              <w:sz w:val="24"/>
              <w:szCs w:val="24"/>
            </w:rPr>
            <w:fldChar w:fldCharType="separate"/>
          </w:r>
          <w:r>
            <w:rPr>
              <w:rFonts w:hint="eastAsia" w:ascii="黑体" w:hAnsi="黑体" w:eastAsia="黑体"/>
              <w:bCs w:val="0"/>
              <w:sz w:val="24"/>
              <w:szCs w:val="24"/>
            </w:rPr>
            <w:t>十、其他重要事项的情况说明</w:t>
          </w:r>
          <w:r>
            <w:rPr>
              <w:sz w:val="24"/>
              <w:szCs w:val="24"/>
            </w:rPr>
            <w:tab/>
          </w:r>
          <w:r>
            <w:rPr>
              <w:sz w:val="24"/>
              <w:szCs w:val="24"/>
            </w:rPr>
            <w:fldChar w:fldCharType="begin"/>
          </w:r>
          <w:r>
            <w:rPr>
              <w:sz w:val="24"/>
              <w:szCs w:val="24"/>
            </w:rPr>
            <w:instrText xml:space="preserve"> PAGEREF _Toc9811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_Toc22039 </w:instrText>
          </w:r>
          <w:r>
            <w:rPr>
              <w:rFonts w:ascii="仿宋" w:hAnsi="仿宋" w:eastAsia="仿宋"/>
              <w:bCs/>
              <w:kern w:val="44"/>
              <w:sz w:val="24"/>
              <w:szCs w:val="24"/>
            </w:rPr>
            <w:fldChar w:fldCharType="separate"/>
          </w:r>
          <w:r>
            <w:rPr>
              <w:rFonts w:hint="eastAsia" w:ascii="楷体_GB2312" w:eastAsia="楷体_GB2312"/>
              <w:sz w:val="24"/>
              <w:szCs w:val="24"/>
            </w:rPr>
            <w:t>（一）机关运行经费支出情况</w:t>
          </w:r>
          <w:r>
            <w:rPr>
              <w:sz w:val="24"/>
              <w:szCs w:val="24"/>
            </w:rPr>
            <w:tab/>
          </w:r>
          <w:r>
            <w:rPr>
              <w:sz w:val="24"/>
              <w:szCs w:val="24"/>
            </w:rPr>
            <w:fldChar w:fldCharType="begin"/>
          </w:r>
          <w:r>
            <w:rPr>
              <w:sz w:val="24"/>
              <w:szCs w:val="24"/>
            </w:rPr>
            <w:instrText xml:space="preserve"> PAGEREF _Toc22039 </w:instrText>
          </w:r>
          <w:r>
            <w:rPr>
              <w:sz w:val="24"/>
              <w:szCs w:val="24"/>
            </w:rPr>
            <w:fldChar w:fldCharType="separate"/>
          </w:r>
          <w:r>
            <w:rPr>
              <w:sz w:val="24"/>
              <w:szCs w:val="24"/>
            </w:rPr>
            <w:t>13</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_Toc19026 </w:instrText>
          </w:r>
          <w:r>
            <w:rPr>
              <w:rFonts w:ascii="仿宋" w:hAnsi="仿宋" w:eastAsia="仿宋"/>
              <w:bCs/>
              <w:kern w:val="44"/>
              <w:sz w:val="24"/>
              <w:szCs w:val="24"/>
            </w:rPr>
            <w:fldChar w:fldCharType="separate"/>
          </w:r>
          <w:r>
            <w:rPr>
              <w:rFonts w:hint="eastAsia" w:ascii="楷体_GB2312" w:eastAsia="楷体_GB2312"/>
              <w:sz w:val="24"/>
              <w:szCs w:val="24"/>
            </w:rPr>
            <w:t>（二）政府采购支出情况</w:t>
          </w:r>
          <w:r>
            <w:rPr>
              <w:sz w:val="24"/>
              <w:szCs w:val="24"/>
            </w:rPr>
            <w:tab/>
          </w:r>
          <w:r>
            <w:rPr>
              <w:sz w:val="24"/>
              <w:szCs w:val="24"/>
            </w:rPr>
            <w:fldChar w:fldCharType="begin"/>
          </w:r>
          <w:r>
            <w:rPr>
              <w:sz w:val="24"/>
              <w:szCs w:val="24"/>
            </w:rPr>
            <w:instrText xml:space="preserve"> PAGEREF _Toc19026 </w:instrText>
          </w:r>
          <w:r>
            <w:rPr>
              <w:sz w:val="24"/>
              <w:szCs w:val="24"/>
            </w:rPr>
            <w:fldChar w:fldCharType="separate"/>
          </w:r>
          <w:r>
            <w:rPr>
              <w:sz w:val="24"/>
              <w:szCs w:val="24"/>
            </w:rPr>
            <w:t>14</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_Toc10809 </w:instrText>
          </w:r>
          <w:r>
            <w:rPr>
              <w:rFonts w:ascii="仿宋" w:hAnsi="仿宋" w:eastAsia="仿宋"/>
              <w:bCs/>
              <w:kern w:val="44"/>
              <w:sz w:val="24"/>
              <w:szCs w:val="24"/>
            </w:rPr>
            <w:fldChar w:fldCharType="separate"/>
          </w:r>
          <w:r>
            <w:rPr>
              <w:rFonts w:hint="eastAsia" w:ascii="楷体_GB2312" w:eastAsia="楷体_GB2312"/>
              <w:sz w:val="24"/>
              <w:szCs w:val="24"/>
            </w:rPr>
            <w:t>（三）国有资产占有使用情况</w:t>
          </w:r>
          <w:r>
            <w:rPr>
              <w:sz w:val="24"/>
              <w:szCs w:val="24"/>
            </w:rPr>
            <w:tab/>
          </w:r>
          <w:r>
            <w:rPr>
              <w:sz w:val="24"/>
              <w:szCs w:val="24"/>
            </w:rPr>
            <w:fldChar w:fldCharType="begin"/>
          </w:r>
          <w:r>
            <w:rPr>
              <w:sz w:val="24"/>
              <w:szCs w:val="24"/>
            </w:rPr>
            <w:instrText xml:space="preserve"> PAGEREF _Toc10809 </w:instrText>
          </w:r>
          <w:r>
            <w:rPr>
              <w:sz w:val="24"/>
              <w:szCs w:val="24"/>
            </w:rPr>
            <w:fldChar w:fldCharType="separate"/>
          </w:r>
          <w:r>
            <w:rPr>
              <w:sz w:val="24"/>
              <w:szCs w:val="24"/>
            </w:rPr>
            <w:t>14</w:t>
          </w:r>
          <w:r>
            <w:rPr>
              <w:sz w:val="24"/>
              <w:szCs w:val="24"/>
            </w:rPr>
            <w:fldChar w:fldCharType="end"/>
          </w:r>
          <w:r>
            <w:rPr>
              <w:rFonts w:ascii="仿宋" w:hAnsi="仿宋" w:eastAsia="仿宋"/>
              <w:bCs/>
              <w:kern w:val="44"/>
              <w:sz w:val="24"/>
              <w:szCs w:val="24"/>
            </w:rPr>
            <w:fldChar w:fldCharType="end"/>
          </w:r>
        </w:p>
        <w:p>
          <w:pPr>
            <w:pStyle w:val="10"/>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_Toc16174 </w:instrText>
          </w:r>
          <w:r>
            <w:rPr>
              <w:rFonts w:ascii="仿宋" w:hAnsi="仿宋" w:eastAsia="仿宋"/>
              <w:bCs/>
              <w:kern w:val="44"/>
              <w:sz w:val="24"/>
              <w:szCs w:val="24"/>
            </w:rPr>
            <w:fldChar w:fldCharType="separate"/>
          </w:r>
          <w:r>
            <w:rPr>
              <w:rFonts w:hint="eastAsia" w:ascii="楷体_GB2312" w:eastAsia="楷体_GB2312"/>
              <w:sz w:val="24"/>
              <w:szCs w:val="24"/>
            </w:rPr>
            <w:t>（四）预算绩效管理情况</w:t>
          </w:r>
          <w:r>
            <w:rPr>
              <w:sz w:val="24"/>
              <w:szCs w:val="24"/>
            </w:rPr>
            <w:tab/>
          </w:r>
          <w:r>
            <w:rPr>
              <w:sz w:val="24"/>
              <w:szCs w:val="24"/>
            </w:rPr>
            <w:fldChar w:fldCharType="begin"/>
          </w:r>
          <w:r>
            <w:rPr>
              <w:sz w:val="24"/>
              <w:szCs w:val="24"/>
            </w:rPr>
            <w:instrText xml:space="preserve"> PAGEREF _Toc16174 </w:instrText>
          </w:r>
          <w:r>
            <w:rPr>
              <w:sz w:val="24"/>
              <w:szCs w:val="24"/>
            </w:rPr>
            <w:fldChar w:fldCharType="separate"/>
          </w:r>
          <w:r>
            <w:rPr>
              <w:sz w:val="24"/>
              <w:szCs w:val="24"/>
            </w:rPr>
            <w:t>14</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_Toc25349 </w:instrText>
          </w:r>
          <w:r>
            <w:rPr>
              <w:rFonts w:ascii="仿宋" w:hAnsi="仿宋" w:eastAsia="仿宋"/>
              <w:bCs/>
              <w:kern w:val="44"/>
              <w:sz w:val="24"/>
              <w:szCs w:val="24"/>
            </w:rPr>
            <w:fldChar w:fldCharType="separate"/>
          </w:r>
          <w:r>
            <w:rPr>
              <w:rFonts w:hint="eastAsia" w:ascii="黑体" w:hAnsi="黑体" w:eastAsia="黑体"/>
              <w:sz w:val="24"/>
              <w:szCs w:val="24"/>
            </w:rPr>
            <w:t>第三部分 名词解释</w:t>
          </w:r>
          <w:r>
            <w:rPr>
              <w:sz w:val="24"/>
              <w:szCs w:val="24"/>
            </w:rPr>
            <w:tab/>
          </w:r>
          <w:r>
            <w:rPr>
              <w:sz w:val="24"/>
              <w:szCs w:val="24"/>
            </w:rPr>
            <w:fldChar w:fldCharType="begin"/>
          </w:r>
          <w:r>
            <w:rPr>
              <w:sz w:val="24"/>
              <w:szCs w:val="24"/>
            </w:rPr>
            <w:instrText xml:space="preserve"> PAGEREF _Toc25349 </w:instrText>
          </w:r>
          <w:r>
            <w:rPr>
              <w:sz w:val="24"/>
              <w:szCs w:val="24"/>
            </w:rPr>
            <w:fldChar w:fldCharType="separate"/>
          </w:r>
          <w:r>
            <w:rPr>
              <w:sz w:val="24"/>
              <w:szCs w:val="24"/>
            </w:rPr>
            <w:t>15</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_Toc3405 </w:instrText>
          </w:r>
          <w:r>
            <w:rPr>
              <w:rFonts w:ascii="仿宋" w:hAnsi="仿宋" w:eastAsia="仿宋"/>
              <w:bCs/>
              <w:kern w:val="44"/>
              <w:sz w:val="24"/>
              <w:szCs w:val="24"/>
            </w:rPr>
            <w:fldChar w:fldCharType="separate"/>
          </w:r>
          <w:r>
            <w:rPr>
              <w:rFonts w:hint="eastAsia" w:ascii="黑体" w:hAnsi="黑体" w:eastAsia="黑体"/>
              <w:sz w:val="24"/>
              <w:szCs w:val="24"/>
            </w:rPr>
            <w:t>第</w:t>
          </w:r>
          <w:r>
            <w:rPr>
              <w:rFonts w:hint="eastAsia" w:ascii="黑体" w:hAnsi="黑体" w:eastAsia="黑体"/>
              <w:bCs w:val="0"/>
              <w:sz w:val="24"/>
              <w:szCs w:val="24"/>
            </w:rPr>
            <w:t>四部分 附件</w:t>
          </w:r>
          <w:r>
            <w:rPr>
              <w:sz w:val="24"/>
              <w:szCs w:val="24"/>
            </w:rPr>
            <w:tab/>
          </w:r>
          <w:r>
            <w:rPr>
              <w:sz w:val="24"/>
              <w:szCs w:val="24"/>
            </w:rPr>
            <w:fldChar w:fldCharType="begin"/>
          </w:r>
          <w:r>
            <w:rPr>
              <w:sz w:val="24"/>
              <w:szCs w:val="24"/>
            </w:rPr>
            <w:instrText xml:space="preserve"> PAGEREF _Toc3405 </w:instrText>
          </w:r>
          <w:r>
            <w:rPr>
              <w:sz w:val="24"/>
              <w:szCs w:val="24"/>
            </w:rPr>
            <w:fldChar w:fldCharType="separate"/>
          </w:r>
          <w:r>
            <w:rPr>
              <w:sz w:val="24"/>
              <w:szCs w:val="24"/>
            </w:rPr>
            <w:t>18</w:t>
          </w:r>
          <w:r>
            <w:rPr>
              <w:sz w:val="24"/>
              <w:szCs w:val="24"/>
            </w:rPr>
            <w:fldChar w:fldCharType="end"/>
          </w:r>
          <w:r>
            <w:rPr>
              <w:rFonts w:ascii="仿宋" w:hAnsi="仿宋" w:eastAsia="仿宋"/>
              <w:bCs/>
              <w:kern w:val="44"/>
              <w:sz w:val="24"/>
              <w:szCs w:val="24"/>
            </w:rPr>
            <w:fldChar w:fldCharType="end"/>
          </w:r>
        </w:p>
        <w:p>
          <w:pPr>
            <w:pStyle w:val="14"/>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_Toc21313 </w:instrText>
          </w:r>
          <w:r>
            <w:rPr>
              <w:rFonts w:ascii="仿宋" w:hAnsi="仿宋" w:eastAsia="仿宋"/>
              <w:bCs/>
              <w:kern w:val="44"/>
              <w:sz w:val="24"/>
              <w:szCs w:val="24"/>
            </w:rPr>
            <w:fldChar w:fldCharType="separate"/>
          </w:r>
          <w:r>
            <w:rPr>
              <w:rFonts w:hint="eastAsia" w:ascii="黑体" w:hAnsi="黑体" w:eastAsia="黑体"/>
              <w:bCs w:val="0"/>
              <w:sz w:val="24"/>
              <w:szCs w:val="24"/>
            </w:rPr>
            <w:t>第五部分 附表</w:t>
          </w:r>
          <w:r>
            <w:rPr>
              <w:sz w:val="24"/>
              <w:szCs w:val="24"/>
            </w:rPr>
            <w:tab/>
          </w:r>
          <w:r>
            <w:rPr>
              <w:sz w:val="24"/>
              <w:szCs w:val="24"/>
            </w:rPr>
            <w:fldChar w:fldCharType="begin"/>
          </w:r>
          <w:r>
            <w:rPr>
              <w:sz w:val="24"/>
              <w:szCs w:val="24"/>
            </w:rPr>
            <w:instrText xml:space="preserve"> PAGEREF _Toc21313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_Toc24687 </w:instrText>
          </w:r>
          <w:r>
            <w:rPr>
              <w:rFonts w:ascii="仿宋" w:hAnsi="仿宋" w:eastAsia="仿宋"/>
              <w:bCs/>
              <w:kern w:val="44"/>
              <w:sz w:val="24"/>
              <w:szCs w:val="24"/>
            </w:rPr>
            <w:fldChar w:fldCharType="separate"/>
          </w:r>
          <w:r>
            <w:rPr>
              <w:rFonts w:hint="eastAsia" w:ascii="仿宋" w:hAnsi="仿宋" w:eastAsia="仿宋"/>
              <w:sz w:val="24"/>
              <w:szCs w:val="24"/>
            </w:rPr>
            <w:t>一、收</w:t>
          </w:r>
          <w:r>
            <w:rPr>
              <w:rFonts w:hint="eastAsia" w:ascii="仿宋" w:hAnsi="仿宋" w:eastAsia="仿宋"/>
              <w:bCs w:val="0"/>
              <w:sz w:val="24"/>
              <w:szCs w:val="24"/>
            </w:rPr>
            <w:t>入支出决算总表</w:t>
          </w:r>
          <w:r>
            <w:rPr>
              <w:sz w:val="24"/>
              <w:szCs w:val="24"/>
            </w:rPr>
            <w:tab/>
          </w:r>
          <w:r>
            <w:rPr>
              <w:sz w:val="24"/>
              <w:szCs w:val="24"/>
            </w:rPr>
            <w:fldChar w:fldCharType="begin"/>
          </w:r>
          <w:r>
            <w:rPr>
              <w:sz w:val="24"/>
              <w:szCs w:val="24"/>
            </w:rPr>
            <w:instrText xml:space="preserve"> PAGEREF _Toc24687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_Toc17308 </w:instrText>
          </w:r>
          <w:r>
            <w:rPr>
              <w:rFonts w:ascii="仿宋" w:hAnsi="仿宋" w:eastAsia="仿宋"/>
              <w:bCs/>
              <w:kern w:val="44"/>
              <w:sz w:val="24"/>
              <w:szCs w:val="24"/>
            </w:rPr>
            <w:fldChar w:fldCharType="separate"/>
          </w:r>
          <w:r>
            <w:rPr>
              <w:rFonts w:hint="eastAsia" w:ascii="仿宋" w:hAnsi="仿宋" w:eastAsia="仿宋"/>
              <w:sz w:val="24"/>
              <w:szCs w:val="24"/>
            </w:rPr>
            <w:t>二、收</w:t>
          </w:r>
          <w:r>
            <w:rPr>
              <w:rFonts w:hint="eastAsia" w:ascii="仿宋" w:hAnsi="仿宋" w:eastAsia="仿宋"/>
              <w:bCs w:val="0"/>
              <w:sz w:val="24"/>
              <w:szCs w:val="24"/>
            </w:rPr>
            <w:t>入决算表</w:t>
          </w:r>
          <w:r>
            <w:rPr>
              <w:sz w:val="24"/>
              <w:szCs w:val="24"/>
            </w:rPr>
            <w:tab/>
          </w:r>
          <w:r>
            <w:rPr>
              <w:sz w:val="24"/>
              <w:szCs w:val="24"/>
            </w:rPr>
            <w:fldChar w:fldCharType="begin"/>
          </w:r>
          <w:r>
            <w:rPr>
              <w:sz w:val="24"/>
              <w:szCs w:val="24"/>
            </w:rPr>
            <w:instrText xml:space="preserve"> PAGEREF _Toc17308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_Toc3239 </w:instrText>
          </w:r>
          <w:r>
            <w:rPr>
              <w:rFonts w:ascii="仿宋" w:hAnsi="仿宋" w:eastAsia="仿宋"/>
              <w:bCs/>
              <w:kern w:val="44"/>
              <w:sz w:val="24"/>
              <w:szCs w:val="24"/>
            </w:rPr>
            <w:fldChar w:fldCharType="separate"/>
          </w:r>
          <w:r>
            <w:rPr>
              <w:rFonts w:hint="eastAsia" w:ascii="仿宋" w:hAnsi="仿宋" w:eastAsia="仿宋"/>
              <w:bCs w:val="0"/>
              <w:sz w:val="24"/>
              <w:szCs w:val="24"/>
            </w:rPr>
            <w:t>三、</w:t>
          </w:r>
          <w:r>
            <w:rPr>
              <w:rFonts w:hint="eastAsia" w:ascii="仿宋" w:hAnsi="仿宋" w:eastAsia="仿宋"/>
              <w:sz w:val="24"/>
              <w:szCs w:val="24"/>
            </w:rPr>
            <w:t>支</w:t>
          </w:r>
          <w:r>
            <w:rPr>
              <w:rFonts w:hint="eastAsia" w:ascii="仿宋" w:hAnsi="仿宋" w:eastAsia="仿宋"/>
              <w:bCs w:val="0"/>
              <w:sz w:val="24"/>
              <w:szCs w:val="24"/>
            </w:rPr>
            <w:t>出决算表</w:t>
          </w:r>
          <w:r>
            <w:rPr>
              <w:sz w:val="24"/>
              <w:szCs w:val="24"/>
            </w:rPr>
            <w:tab/>
          </w:r>
          <w:r>
            <w:rPr>
              <w:sz w:val="24"/>
              <w:szCs w:val="24"/>
            </w:rPr>
            <w:fldChar w:fldCharType="begin"/>
          </w:r>
          <w:r>
            <w:rPr>
              <w:sz w:val="24"/>
              <w:szCs w:val="24"/>
            </w:rPr>
            <w:instrText xml:space="preserve"> PAGEREF _Toc3239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_Toc17790 </w:instrText>
          </w:r>
          <w:r>
            <w:rPr>
              <w:rFonts w:ascii="仿宋" w:hAnsi="仿宋" w:eastAsia="仿宋"/>
              <w:bCs/>
              <w:kern w:val="44"/>
              <w:sz w:val="24"/>
              <w:szCs w:val="24"/>
            </w:rPr>
            <w:fldChar w:fldCharType="separate"/>
          </w:r>
          <w:r>
            <w:rPr>
              <w:rFonts w:hint="eastAsia" w:ascii="仿宋" w:hAnsi="仿宋" w:eastAsia="仿宋"/>
              <w:bCs w:val="0"/>
              <w:sz w:val="24"/>
              <w:szCs w:val="24"/>
            </w:rPr>
            <w:t>四、</w:t>
          </w:r>
          <w:r>
            <w:rPr>
              <w:rFonts w:hint="eastAsia" w:ascii="仿宋" w:hAnsi="仿宋" w:eastAsia="仿宋"/>
              <w:sz w:val="24"/>
              <w:szCs w:val="24"/>
            </w:rPr>
            <w:t>财</w:t>
          </w:r>
          <w:r>
            <w:rPr>
              <w:rFonts w:hint="eastAsia" w:ascii="仿宋" w:hAnsi="仿宋" w:eastAsia="仿宋"/>
              <w:bCs w:val="0"/>
              <w:sz w:val="24"/>
              <w:szCs w:val="24"/>
            </w:rPr>
            <w:t>政拨款收入支出决算总表</w:t>
          </w:r>
          <w:r>
            <w:rPr>
              <w:sz w:val="24"/>
              <w:szCs w:val="24"/>
            </w:rPr>
            <w:tab/>
          </w:r>
          <w:r>
            <w:rPr>
              <w:sz w:val="24"/>
              <w:szCs w:val="24"/>
            </w:rPr>
            <w:fldChar w:fldCharType="begin"/>
          </w:r>
          <w:r>
            <w:rPr>
              <w:sz w:val="24"/>
              <w:szCs w:val="24"/>
            </w:rPr>
            <w:instrText xml:space="preserve"> PAGEREF _Toc17790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_Toc32193 </w:instrText>
          </w:r>
          <w:r>
            <w:rPr>
              <w:rFonts w:ascii="仿宋" w:hAnsi="仿宋" w:eastAsia="仿宋"/>
              <w:bCs/>
              <w:kern w:val="44"/>
              <w:sz w:val="24"/>
              <w:szCs w:val="24"/>
            </w:rPr>
            <w:fldChar w:fldCharType="separate"/>
          </w:r>
          <w:r>
            <w:rPr>
              <w:rFonts w:hint="eastAsia" w:ascii="仿宋" w:hAnsi="仿宋" w:eastAsia="仿宋"/>
              <w:bCs w:val="0"/>
              <w:sz w:val="24"/>
              <w:szCs w:val="24"/>
            </w:rPr>
            <w:t>五、</w:t>
          </w:r>
          <w:r>
            <w:rPr>
              <w:rFonts w:hint="eastAsia" w:ascii="仿宋" w:hAnsi="仿宋" w:eastAsia="仿宋"/>
              <w:sz w:val="24"/>
              <w:szCs w:val="24"/>
            </w:rPr>
            <w:t>财</w:t>
          </w:r>
          <w:r>
            <w:rPr>
              <w:rFonts w:hint="eastAsia" w:ascii="仿宋" w:hAnsi="仿宋" w:eastAsia="仿宋"/>
              <w:bCs w:val="0"/>
              <w:sz w:val="24"/>
              <w:szCs w:val="24"/>
            </w:rPr>
            <w:t>政拨款</w:t>
          </w:r>
          <w:bookmarkStart w:id="116" w:name="_GoBack"/>
          <w:bookmarkEnd w:id="116"/>
          <w:r>
            <w:rPr>
              <w:rFonts w:hint="eastAsia" w:ascii="仿宋" w:hAnsi="仿宋" w:eastAsia="仿宋"/>
              <w:bCs w:val="0"/>
              <w:sz w:val="24"/>
              <w:szCs w:val="24"/>
            </w:rPr>
            <w:t>支出决算明细表</w:t>
          </w:r>
          <w:r>
            <w:rPr>
              <w:sz w:val="24"/>
              <w:szCs w:val="24"/>
            </w:rPr>
            <w:tab/>
          </w:r>
          <w:r>
            <w:rPr>
              <w:sz w:val="24"/>
              <w:szCs w:val="24"/>
            </w:rPr>
            <w:fldChar w:fldCharType="begin"/>
          </w:r>
          <w:r>
            <w:rPr>
              <w:sz w:val="24"/>
              <w:szCs w:val="24"/>
            </w:rPr>
            <w:instrText xml:space="preserve"> PAGEREF _Toc32193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_Toc4241 </w:instrText>
          </w:r>
          <w:r>
            <w:rPr>
              <w:rFonts w:ascii="仿宋" w:hAnsi="仿宋" w:eastAsia="仿宋"/>
              <w:bCs/>
              <w:kern w:val="44"/>
              <w:sz w:val="24"/>
              <w:szCs w:val="24"/>
            </w:rPr>
            <w:fldChar w:fldCharType="separate"/>
          </w:r>
          <w:r>
            <w:rPr>
              <w:rFonts w:hint="eastAsia" w:ascii="仿宋" w:hAnsi="仿宋" w:eastAsia="仿宋"/>
              <w:bCs w:val="0"/>
              <w:sz w:val="24"/>
              <w:szCs w:val="24"/>
            </w:rPr>
            <w:t>六、</w:t>
          </w:r>
          <w:r>
            <w:rPr>
              <w:rFonts w:hint="eastAsia" w:ascii="仿宋" w:hAnsi="仿宋" w:eastAsia="仿宋"/>
              <w:sz w:val="24"/>
              <w:szCs w:val="24"/>
            </w:rPr>
            <w:t>一</w:t>
          </w:r>
          <w:r>
            <w:rPr>
              <w:rFonts w:hint="eastAsia" w:ascii="仿宋" w:hAnsi="仿宋" w:eastAsia="仿宋"/>
              <w:bCs w:val="0"/>
              <w:sz w:val="24"/>
              <w:szCs w:val="24"/>
            </w:rPr>
            <w:t>般公共预算财政拨款支出决算表</w:t>
          </w:r>
          <w:r>
            <w:rPr>
              <w:sz w:val="24"/>
              <w:szCs w:val="24"/>
            </w:rPr>
            <w:tab/>
          </w:r>
          <w:r>
            <w:rPr>
              <w:sz w:val="24"/>
              <w:szCs w:val="24"/>
            </w:rPr>
            <w:fldChar w:fldCharType="begin"/>
          </w:r>
          <w:r>
            <w:rPr>
              <w:sz w:val="24"/>
              <w:szCs w:val="24"/>
            </w:rPr>
            <w:instrText xml:space="preserve"> PAGEREF _Toc4241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_Toc14732 </w:instrText>
          </w:r>
          <w:r>
            <w:rPr>
              <w:rFonts w:ascii="仿宋" w:hAnsi="仿宋" w:eastAsia="仿宋"/>
              <w:bCs/>
              <w:kern w:val="44"/>
              <w:sz w:val="24"/>
              <w:szCs w:val="24"/>
            </w:rPr>
            <w:fldChar w:fldCharType="separate"/>
          </w:r>
          <w:r>
            <w:rPr>
              <w:rFonts w:hint="eastAsia" w:ascii="仿宋" w:hAnsi="仿宋" w:eastAsia="仿宋"/>
              <w:bCs w:val="0"/>
              <w:sz w:val="24"/>
              <w:szCs w:val="24"/>
            </w:rPr>
            <w:t>七、</w:t>
          </w:r>
          <w:r>
            <w:rPr>
              <w:rFonts w:hint="eastAsia" w:ascii="仿宋" w:hAnsi="仿宋" w:eastAsia="仿宋"/>
              <w:sz w:val="24"/>
              <w:szCs w:val="24"/>
            </w:rPr>
            <w:t>一</w:t>
          </w:r>
          <w:r>
            <w:rPr>
              <w:rFonts w:hint="eastAsia" w:ascii="仿宋" w:hAnsi="仿宋" w:eastAsia="仿宋"/>
              <w:bCs w:val="0"/>
              <w:sz w:val="24"/>
              <w:szCs w:val="24"/>
            </w:rPr>
            <w:t>般公共预算财政拨款支出决算明细表</w:t>
          </w:r>
          <w:r>
            <w:rPr>
              <w:sz w:val="24"/>
              <w:szCs w:val="24"/>
            </w:rPr>
            <w:tab/>
          </w:r>
          <w:r>
            <w:rPr>
              <w:sz w:val="24"/>
              <w:szCs w:val="24"/>
            </w:rPr>
            <w:fldChar w:fldCharType="begin"/>
          </w:r>
          <w:r>
            <w:rPr>
              <w:sz w:val="24"/>
              <w:szCs w:val="24"/>
            </w:rPr>
            <w:instrText xml:space="preserve"> PAGEREF _Toc14732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_Toc7628 </w:instrText>
          </w:r>
          <w:r>
            <w:rPr>
              <w:rFonts w:ascii="仿宋" w:hAnsi="仿宋" w:eastAsia="仿宋"/>
              <w:bCs/>
              <w:kern w:val="44"/>
              <w:sz w:val="24"/>
              <w:szCs w:val="24"/>
            </w:rPr>
            <w:fldChar w:fldCharType="separate"/>
          </w:r>
          <w:r>
            <w:rPr>
              <w:rFonts w:hint="eastAsia" w:ascii="仿宋" w:hAnsi="仿宋" w:eastAsia="仿宋"/>
              <w:bCs w:val="0"/>
              <w:sz w:val="24"/>
              <w:szCs w:val="24"/>
            </w:rPr>
            <w:t>八、</w:t>
          </w:r>
          <w:r>
            <w:rPr>
              <w:rFonts w:hint="eastAsia" w:ascii="仿宋" w:hAnsi="仿宋" w:eastAsia="仿宋"/>
              <w:sz w:val="24"/>
              <w:szCs w:val="24"/>
            </w:rPr>
            <w:t>一</w:t>
          </w:r>
          <w:r>
            <w:rPr>
              <w:rFonts w:hint="eastAsia" w:ascii="仿宋" w:hAnsi="仿宋" w:eastAsia="仿宋"/>
              <w:bCs w:val="0"/>
              <w:sz w:val="24"/>
              <w:szCs w:val="24"/>
            </w:rPr>
            <w:t>般公共预算财政拨款基本支出决算表</w:t>
          </w:r>
          <w:r>
            <w:rPr>
              <w:sz w:val="24"/>
              <w:szCs w:val="24"/>
            </w:rPr>
            <w:tab/>
          </w:r>
          <w:r>
            <w:rPr>
              <w:sz w:val="24"/>
              <w:szCs w:val="24"/>
            </w:rPr>
            <w:fldChar w:fldCharType="begin"/>
          </w:r>
          <w:r>
            <w:rPr>
              <w:sz w:val="24"/>
              <w:szCs w:val="24"/>
            </w:rPr>
            <w:instrText xml:space="preserve"> PAGEREF _Toc7628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_Toc2341 </w:instrText>
          </w:r>
          <w:r>
            <w:rPr>
              <w:rFonts w:ascii="仿宋" w:hAnsi="仿宋" w:eastAsia="仿宋"/>
              <w:bCs/>
              <w:kern w:val="44"/>
              <w:sz w:val="24"/>
              <w:szCs w:val="24"/>
            </w:rPr>
            <w:fldChar w:fldCharType="separate"/>
          </w:r>
          <w:r>
            <w:rPr>
              <w:rFonts w:hint="eastAsia" w:ascii="仿宋" w:hAnsi="仿宋" w:eastAsia="仿宋"/>
              <w:bCs w:val="0"/>
              <w:sz w:val="24"/>
              <w:szCs w:val="24"/>
            </w:rPr>
            <w:t>九、</w:t>
          </w:r>
          <w:r>
            <w:rPr>
              <w:rFonts w:hint="eastAsia" w:ascii="仿宋" w:hAnsi="仿宋" w:eastAsia="仿宋"/>
              <w:sz w:val="24"/>
              <w:szCs w:val="24"/>
            </w:rPr>
            <w:t>一</w:t>
          </w:r>
          <w:r>
            <w:rPr>
              <w:rFonts w:hint="eastAsia" w:ascii="仿宋" w:hAnsi="仿宋" w:eastAsia="仿宋"/>
              <w:bCs w:val="0"/>
              <w:sz w:val="24"/>
              <w:szCs w:val="24"/>
            </w:rPr>
            <w:t>般公共预算财政拨款项目支出决算表</w:t>
          </w:r>
          <w:r>
            <w:rPr>
              <w:sz w:val="24"/>
              <w:szCs w:val="24"/>
            </w:rPr>
            <w:tab/>
          </w:r>
          <w:r>
            <w:rPr>
              <w:sz w:val="24"/>
              <w:szCs w:val="24"/>
            </w:rPr>
            <w:fldChar w:fldCharType="begin"/>
          </w:r>
          <w:r>
            <w:rPr>
              <w:sz w:val="24"/>
              <w:szCs w:val="24"/>
            </w:rPr>
            <w:instrText xml:space="preserve"> PAGEREF _Toc2341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_Toc7611 </w:instrText>
          </w:r>
          <w:r>
            <w:rPr>
              <w:rFonts w:ascii="仿宋" w:hAnsi="仿宋" w:eastAsia="仿宋"/>
              <w:bCs/>
              <w:kern w:val="44"/>
              <w:sz w:val="24"/>
              <w:szCs w:val="24"/>
            </w:rPr>
            <w:fldChar w:fldCharType="separate"/>
          </w:r>
          <w:r>
            <w:rPr>
              <w:rFonts w:hint="eastAsia" w:ascii="仿宋" w:hAnsi="仿宋" w:eastAsia="仿宋"/>
              <w:bCs w:val="0"/>
              <w:sz w:val="24"/>
              <w:szCs w:val="24"/>
            </w:rPr>
            <w:t>十、</w:t>
          </w:r>
          <w:r>
            <w:rPr>
              <w:rFonts w:hint="eastAsia" w:ascii="仿宋" w:hAnsi="仿宋" w:eastAsia="仿宋"/>
              <w:sz w:val="24"/>
              <w:szCs w:val="24"/>
            </w:rPr>
            <w:t>政</w:t>
          </w:r>
          <w:r>
            <w:rPr>
              <w:rFonts w:hint="eastAsia" w:ascii="仿宋" w:hAnsi="仿宋" w:eastAsia="仿宋"/>
              <w:bCs w:val="0"/>
              <w:sz w:val="24"/>
              <w:szCs w:val="24"/>
            </w:rPr>
            <w:t>府性基金预算财政拨款收入支出决算表</w:t>
          </w:r>
          <w:r>
            <w:rPr>
              <w:sz w:val="24"/>
              <w:szCs w:val="24"/>
            </w:rPr>
            <w:tab/>
          </w:r>
          <w:r>
            <w:rPr>
              <w:sz w:val="24"/>
              <w:szCs w:val="24"/>
            </w:rPr>
            <w:fldChar w:fldCharType="begin"/>
          </w:r>
          <w:r>
            <w:rPr>
              <w:sz w:val="24"/>
              <w:szCs w:val="24"/>
            </w:rPr>
            <w:instrText xml:space="preserve"> PAGEREF _Toc7611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_Toc16202 </w:instrText>
          </w:r>
          <w:r>
            <w:rPr>
              <w:rFonts w:ascii="仿宋" w:hAnsi="仿宋" w:eastAsia="仿宋"/>
              <w:bCs/>
              <w:kern w:val="44"/>
              <w:sz w:val="24"/>
              <w:szCs w:val="24"/>
            </w:rPr>
            <w:fldChar w:fldCharType="separate"/>
          </w:r>
          <w:r>
            <w:rPr>
              <w:rFonts w:hint="eastAsia" w:ascii="仿宋" w:hAnsi="仿宋" w:eastAsia="仿宋"/>
              <w:bCs w:val="0"/>
              <w:sz w:val="24"/>
              <w:szCs w:val="24"/>
            </w:rPr>
            <w:t>十一、</w:t>
          </w:r>
          <w:r>
            <w:rPr>
              <w:rFonts w:hint="eastAsia" w:ascii="仿宋" w:hAnsi="仿宋" w:eastAsia="仿宋"/>
              <w:sz w:val="24"/>
              <w:szCs w:val="24"/>
            </w:rPr>
            <w:t>国</w:t>
          </w:r>
          <w:r>
            <w:rPr>
              <w:rFonts w:hint="eastAsia" w:ascii="仿宋" w:hAnsi="仿宋" w:eastAsia="仿宋"/>
              <w:bCs w:val="0"/>
              <w:sz w:val="24"/>
              <w:szCs w:val="24"/>
            </w:rPr>
            <w:t>有资本经营预算财政拨款收入支出决算表</w:t>
          </w:r>
          <w:r>
            <w:rPr>
              <w:sz w:val="24"/>
              <w:szCs w:val="24"/>
            </w:rPr>
            <w:tab/>
          </w:r>
          <w:r>
            <w:rPr>
              <w:sz w:val="24"/>
              <w:szCs w:val="24"/>
            </w:rPr>
            <w:fldChar w:fldCharType="begin"/>
          </w:r>
          <w:r>
            <w:rPr>
              <w:sz w:val="24"/>
              <w:szCs w:val="24"/>
            </w:rPr>
            <w:instrText xml:space="preserve"> PAGEREF _Toc16202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_Toc21269 </w:instrText>
          </w:r>
          <w:r>
            <w:rPr>
              <w:rFonts w:ascii="仿宋" w:hAnsi="仿宋" w:eastAsia="仿宋"/>
              <w:bCs/>
              <w:kern w:val="44"/>
              <w:sz w:val="24"/>
              <w:szCs w:val="24"/>
            </w:rPr>
            <w:fldChar w:fldCharType="separate"/>
          </w:r>
          <w:r>
            <w:rPr>
              <w:rFonts w:hint="eastAsia" w:ascii="仿宋" w:hAnsi="仿宋" w:eastAsia="仿宋"/>
              <w:bCs w:val="0"/>
              <w:sz w:val="24"/>
              <w:szCs w:val="24"/>
            </w:rPr>
            <w:t>十二、国有资本经营预算财政拨款支出决算表</w:t>
          </w:r>
          <w:r>
            <w:rPr>
              <w:sz w:val="24"/>
              <w:szCs w:val="24"/>
            </w:rPr>
            <w:tab/>
          </w:r>
          <w:r>
            <w:rPr>
              <w:sz w:val="24"/>
              <w:szCs w:val="24"/>
            </w:rPr>
            <w:fldChar w:fldCharType="begin"/>
          </w:r>
          <w:r>
            <w:rPr>
              <w:sz w:val="24"/>
              <w:szCs w:val="24"/>
            </w:rPr>
            <w:instrText xml:space="preserve"> PAGEREF _Toc21269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pStyle w:val="16"/>
            <w:tabs>
              <w:tab w:val="right" w:leader="dot" w:pos="8306"/>
              <w:tab w:val="clear" w:pos="8296"/>
            </w:tabs>
            <w:rPr>
              <w:sz w:val="24"/>
              <w:szCs w:val="24"/>
            </w:rPr>
          </w:pPr>
          <w:r>
            <w:rPr>
              <w:rFonts w:ascii="仿宋" w:hAnsi="仿宋" w:eastAsia="仿宋"/>
              <w:bCs/>
              <w:kern w:val="44"/>
              <w:sz w:val="24"/>
              <w:szCs w:val="24"/>
            </w:rPr>
            <w:fldChar w:fldCharType="begin"/>
          </w:r>
          <w:r>
            <w:rPr>
              <w:rFonts w:ascii="仿宋" w:hAnsi="仿宋" w:eastAsia="仿宋"/>
              <w:bCs/>
              <w:kern w:val="44"/>
              <w:sz w:val="24"/>
              <w:szCs w:val="24"/>
            </w:rPr>
            <w:instrText xml:space="preserve"> HYPERLINK \l _Toc11007 </w:instrText>
          </w:r>
          <w:r>
            <w:rPr>
              <w:rFonts w:ascii="仿宋" w:hAnsi="仿宋" w:eastAsia="仿宋"/>
              <w:bCs/>
              <w:kern w:val="44"/>
              <w:sz w:val="24"/>
              <w:szCs w:val="24"/>
            </w:rPr>
            <w:fldChar w:fldCharType="separate"/>
          </w:r>
          <w:r>
            <w:rPr>
              <w:rFonts w:hint="eastAsia" w:ascii="仿宋" w:hAnsi="仿宋" w:eastAsia="仿宋"/>
              <w:bCs w:val="0"/>
              <w:sz w:val="24"/>
              <w:szCs w:val="24"/>
            </w:rPr>
            <w:t>十三、财政拨款“三公”经费支出决算表</w:t>
          </w:r>
          <w:r>
            <w:rPr>
              <w:sz w:val="24"/>
              <w:szCs w:val="24"/>
            </w:rPr>
            <w:tab/>
          </w:r>
          <w:r>
            <w:rPr>
              <w:sz w:val="24"/>
              <w:szCs w:val="24"/>
            </w:rPr>
            <w:fldChar w:fldCharType="begin"/>
          </w:r>
          <w:r>
            <w:rPr>
              <w:sz w:val="24"/>
              <w:szCs w:val="24"/>
            </w:rPr>
            <w:instrText xml:space="preserve"> PAGEREF _Toc11007 </w:instrText>
          </w:r>
          <w:r>
            <w:rPr>
              <w:sz w:val="24"/>
              <w:szCs w:val="24"/>
            </w:rPr>
            <w:fldChar w:fldCharType="separate"/>
          </w:r>
          <w:r>
            <w:rPr>
              <w:sz w:val="24"/>
              <w:szCs w:val="24"/>
            </w:rPr>
            <w:t>19</w:t>
          </w:r>
          <w:r>
            <w:rPr>
              <w:sz w:val="24"/>
              <w:szCs w:val="24"/>
            </w:rPr>
            <w:fldChar w:fldCharType="end"/>
          </w:r>
          <w:r>
            <w:rPr>
              <w:rFonts w:ascii="仿宋" w:hAnsi="仿宋" w:eastAsia="仿宋"/>
              <w:bCs/>
              <w:kern w:val="44"/>
              <w:sz w:val="24"/>
              <w:szCs w:val="24"/>
            </w:rPr>
            <w:fldChar w:fldCharType="end"/>
          </w:r>
        </w:p>
        <w:p>
          <w:pPr>
            <w:widowControl/>
            <w:spacing w:line="440" w:lineRule="exact"/>
            <w:jc w:val="left"/>
            <w:rPr>
              <w:rFonts w:hint="eastAsia" w:ascii="仿宋" w:hAnsi="仿宋" w:eastAsia="仿宋"/>
              <w:bCs/>
              <w:kern w:val="44"/>
              <w:sz w:val="24"/>
            </w:rPr>
          </w:pPr>
          <w:r>
            <w:rPr>
              <w:rFonts w:ascii="仿宋" w:hAnsi="仿宋" w:eastAsia="仿宋"/>
              <w:bCs/>
              <w:kern w:val="44"/>
              <w:sz w:val="24"/>
              <w:szCs w:val="24"/>
            </w:rPr>
            <w:fldChar w:fldCharType="end"/>
          </w:r>
        </w:p>
      </w:sdtContent>
    </w:sdt>
    <w:p>
      <w:pPr>
        <w:pStyle w:val="3"/>
        <w:jc w:val="center"/>
        <w:rPr>
          <w:rFonts w:hint="eastAsia" w:ascii="黑体" w:hAnsi="黑体" w:eastAsia="黑体"/>
          <w:b w:val="0"/>
        </w:rPr>
      </w:pPr>
      <w:r>
        <w:rPr>
          <w:rFonts w:hint="eastAsia" w:ascii="黑体" w:hAnsi="黑体" w:eastAsia="黑体"/>
          <w:b w:val="0"/>
        </w:rPr>
        <w:br w:type="page"/>
      </w:r>
    </w:p>
    <w:p>
      <w:pPr>
        <w:pStyle w:val="3"/>
        <w:jc w:val="center"/>
        <w:rPr>
          <w:rStyle w:val="31"/>
          <w:rFonts w:hint="eastAsia" w:ascii="黑体" w:hAnsi="黑体" w:eastAsia="黑体"/>
          <w:b/>
          <w:bCs w:val="0"/>
        </w:rPr>
      </w:pPr>
      <w:bookmarkStart w:id="8" w:name="_Toc27963"/>
      <w:r>
        <w:rPr>
          <w:rFonts w:hint="eastAsia" w:ascii="黑体" w:hAnsi="黑体" w:eastAsia="黑体"/>
          <w:b w:val="0"/>
        </w:rPr>
        <w:t>第一部分 单位</w:t>
      </w:r>
      <w:r>
        <w:rPr>
          <w:rStyle w:val="31"/>
          <w:rFonts w:hint="eastAsia" w:ascii="黑体" w:hAnsi="黑体" w:eastAsia="黑体"/>
          <w:b w:val="0"/>
          <w:bCs w:val="0"/>
        </w:rPr>
        <w:t>概况</w:t>
      </w:r>
      <w:bookmarkEnd w:id="6"/>
      <w:bookmarkEnd w:id="7"/>
      <w:bookmarkEnd w:id="8"/>
    </w:p>
    <w:p>
      <w:pPr>
        <w:widowControl/>
        <w:jc w:val="left"/>
        <w:rPr>
          <w:rFonts w:ascii="黑体" w:eastAsia="黑体"/>
          <w:sz w:val="32"/>
          <w:szCs w:val="32"/>
        </w:rPr>
      </w:pPr>
    </w:p>
    <w:p>
      <w:pPr>
        <w:pStyle w:val="4"/>
        <w:rPr>
          <w:rFonts w:hint="eastAsia" w:ascii="黑体" w:hAnsi="黑体" w:eastAsia="黑体"/>
          <w:b w:val="0"/>
        </w:rPr>
      </w:pPr>
      <w:bookmarkStart w:id="9" w:name="_Toc13228"/>
      <w:r>
        <w:rPr>
          <w:rFonts w:hint="eastAsia" w:ascii="黑体" w:hAnsi="黑体" w:eastAsia="黑体"/>
          <w:b w:val="0"/>
        </w:rPr>
        <w:t>一、主要职责</w:t>
      </w:r>
      <w:bookmarkEnd w:id="9"/>
    </w:p>
    <w:p>
      <w:pPr>
        <w:adjustRightInd w:val="0"/>
        <w:snapToGrid w:val="0"/>
        <w:spacing w:line="576" w:lineRule="exact"/>
        <w:ind w:firstLine="640" w:firstLineChars="200"/>
        <w:rPr>
          <w:rFonts w:eastAsia="仿宋_GB2312"/>
        </w:rPr>
      </w:pPr>
      <w:r>
        <w:rPr>
          <w:rFonts w:hint="eastAsia" w:ascii="方正仿宋_GBK" w:hAnsi="方正仿宋_GBK" w:eastAsia="方正仿宋_GBK" w:cs="方正仿宋_GBK"/>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pStyle w:val="4"/>
        <w:adjustRightInd w:val="0"/>
        <w:snapToGrid w:val="0"/>
        <w:spacing w:line="576" w:lineRule="exact"/>
        <w:rPr>
          <w:rFonts w:hint="eastAsia" w:ascii="黑体" w:hAnsi="黑体" w:eastAsia="黑体"/>
          <w:b w:val="0"/>
        </w:rPr>
      </w:pPr>
      <w:bookmarkStart w:id="10" w:name="_Toc2427"/>
      <w:bookmarkStart w:id="11" w:name="_Toc15377200"/>
      <w:bookmarkStart w:id="12" w:name="_Toc15396601"/>
      <w:r>
        <w:rPr>
          <w:rFonts w:hint="eastAsia" w:ascii="黑体" w:hAnsi="黑体" w:eastAsia="黑体"/>
          <w:b w:val="0"/>
        </w:rPr>
        <w:t>二、机构设置</w:t>
      </w:r>
      <w:bookmarkEnd w:id="10"/>
      <w:bookmarkEnd w:id="11"/>
      <w:bookmarkEnd w:id="12"/>
    </w:p>
    <w:p>
      <w:pPr>
        <w:adjustRightInd w:val="0"/>
        <w:snapToGrid w:val="0"/>
        <w:spacing w:line="576" w:lineRule="exact"/>
        <w:ind w:firstLine="640" w:firstLineChars="200"/>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攀枝花市民族宗教委员会下属二级预算单位</w:t>
      </w:r>
      <w:r>
        <w:rPr>
          <w:rFonts w:hint="default" w:ascii="Times New Roman" w:hAnsi="Times New Roman" w:eastAsia="仿宋_GB2312" w:cs="Times New Roman"/>
          <w:sz w:val="32"/>
          <w:szCs w:val="32"/>
        </w:rPr>
        <w:t>1</w:t>
      </w:r>
      <w:r>
        <w:rPr>
          <w:rFonts w:hint="eastAsia" w:ascii="方正仿宋_GBK" w:hAnsi="方正仿宋_GBK" w:eastAsia="方正仿宋_GBK" w:cs="方正仿宋_GBK"/>
          <w:sz w:val="32"/>
          <w:szCs w:val="32"/>
        </w:rPr>
        <w:t>个，其中行政单位</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个，参照公务员法管理的事业单位</w:t>
      </w:r>
      <w:r>
        <w:rPr>
          <w:rFonts w:hint="eastAsia" w:ascii="Times New Roman" w:hAnsi="Times New Roman" w:eastAsia="方正仿宋_GBK" w:cs="Times New Roman"/>
          <w:sz w:val="32"/>
          <w:szCs w:val="32"/>
        </w:rPr>
        <w:t>0个，其他事业单位1个。</w:t>
      </w:r>
    </w:p>
    <w:p>
      <w:pPr>
        <w:adjustRightInd w:val="0"/>
        <w:snapToGrid w:val="0"/>
        <w:spacing w:line="576"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纳入攀枝花市民族宗教委202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年度部门决算编制范围的二级预算单位包括：</w:t>
      </w:r>
    </w:p>
    <w:p>
      <w:pPr>
        <w:adjustRightInd w:val="0"/>
        <w:snapToGrid w:val="0"/>
        <w:spacing w:line="576" w:lineRule="exact"/>
        <w:ind w:firstLine="640" w:firstLineChars="200"/>
        <w:rPr>
          <w:rFonts w:hint="eastAsia" w:ascii="仿宋_GB2312" w:hAnsi="仿宋_GB2312" w:eastAsia="仿宋_GB2312" w:cs="仿宋_GB2312"/>
          <w:sz w:val="32"/>
          <w:szCs w:val="32"/>
        </w:rPr>
      </w:pPr>
      <w:bookmarkStart w:id="13" w:name="_Toc15378449"/>
      <w:bookmarkStart w:id="14" w:name="_Toc15306276"/>
      <w:bookmarkStart w:id="15" w:name="_Toc15377202"/>
      <w:bookmarkStart w:id="16" w:name="_Toc15377433"/>
      <w:r>
        <w:rPr>
          <w:rFonts w:hint="eastAsia" w:ascii="Times New Roman" w:hAnsi="Times New Roman" w:eastAsia="方正仿宋_GBK" w:cs="Times New Roman"/>
          <w:sz w:val="32"/>
          <w:szCs w:val="32"/>
        </w:rPr>
        <w:t>1.攀枝花</w:t>
      </w:r>
      <w:r>
        <w:rPr>
          <w:rFonts w:hint="eastAsia" w:ascii="方正仿宋_GBK" w:hAnsi="方正仿宋_GBK" w:eastAsia="方正仿宋_GBK" w:cs="方正仿宋_GBK"/>
          <w:sz w:val="32"/>
          <w:szCs w:val="32"/>
        </w:rPr>
        <w:t>市民族宗教</w:t>
      </w:r>
      <w:bookmarkEnd w:id="13"/>
      <w:bookmarkEnd w:id="14"/>
      <w:bookmarkEnd w:id="15"/>
      <w:bookmarkEnd w:id="16"/>
      <w:r>
        <w:rPr>
          <w:rFonts w:hint="eastAsia" w:ascii="方正仿宋_GBK" w:hAnsi="方正仿宋_GBK" w:eastAsia="方正仿宋_GBK" w:cs="方正仿宋_GBK"/>
          <w:sz w:val="32"/>
          <w:szCs w:val="32"/>
        </w:rPr>
        <w:t>事务服务中心</w:t>
      </w:r>
    </w:p>
    <w:p>
      <w:pPr>
        <w:widowControl/>
        <w:jc w:val="left"/>
        <w:rPr>
          <w:rFonts w:hint="eastAsia" w:ascii="仿宋" w:hAnsi="仿宋" w:eastAsia="仿宋"/>
          <w:kern w:val="0"/>
          <w:sz w:val="32"/>
          <w:szCs w:val="32"/>
        </w:rPr>
      </w:pPr>
      <w:r>
        <w:rPr>
          <w:rFonts w:ascii="仿宋" w:hAnsi="仿宋" w:eastAsia="仿宋"/>
          <w:sz w:val="32"/>
          <w:szCs w:val="32"/>
        </w:rPr>
        <w:br w:type="page"/>
      </w:r>
    </w:p>
    <w:p>
      <w:pPr>
        <w:pStyle w:val="3"/>
        <w:ind w:right="440"/>
        <w:jc w:val="center"/>
        <w:rPr>
          <w:rStyle w:val="31"/>
          <w:rFonts w:hint="eastAsia" w:ascii="黑体" w:hAnsi="黑体" w:eastAsia="黑体"/>
          <w:b w:val="0"/>
          <w:bCs/>
        </w:rPr>
      </w:pPr>
      <w:bookmarkStart w:id="17" w:name="_Toc15396602"/>
      <w:bookmarkStart w:id="18" w:name="_Toc15377204"/>
      <w:bookmarkStart w:id="19" w:name="_Toc22679"/>
      <w:r>
        <w:rPr>
          <w:rFonts w:hint="eastAsia" w:ascii="黑体" w:hAnsi="黑体" w:eastAsia="黑体"/>
          <w:b w:val="0"/>
        </w:rPr>
        <w:t>第二部分 202</w:t>
      </w:r>
      <w:r>
        <w:rPr>
          <w:rFonts w:hint="eastAsia" w:ascii="黑体" w:hAnsi="黑体" w:eastAsia="黑体"/>
          <w:b w:val="0"/>
          <w:lang w:val="en-US" w:eastAsia="zh-CN"/>
        </w:rPr>
        <w:t>4</w:t>
      </w:r>
      <w:r>
        <w:rPr>
          <w:rFonts w:hint="eastAsia" w:ascii="黑体" w:hAnsi="黑体" w:eastAsia="黑体"/>
          <w:b w:val="0"/>
        </w:rPr>
        <w:t>年度单位</w:t>
      </w:r>
      <w:r>
        <w:rPr>
          <w:rStyle w:val="31"/>
          <w:rFonts w:hint="eastAsia" w:ascii="黑体" w:hAnsi="黑体" w:eastAsia="黑体"/>
          <w:b w:val="0"/>
          <w:bCs/>
        </w:rPr>
        <w:t>决算情况说明</w:t>
      </w:r>
      <w:bookmarkEnd w:id="17"/>
      <w:bookmarkEnd w:id="18"/>
      <w:bookmarkEnd w:id="19"/>
    </w:p>
    <w:p/>
    <w:p>
      <w:pPr>
        <w:pStyle w:val="4"/>
        <w:adjustRightInd w:val="0"/>
        <w:snapToGrid w:val="0"/>
        <w:spacing w:line="576" w:lineRule="exact"/>
        <w:ind w:firstLine="629" w:firstLineChars="196"/>
        <w:rPr>
          <w:rStyle w:val="53"/>
          <w:rFonts w:hint="eastAsia" w:ascii="黑体" w:hAnsi="黑体" w:eastAsia="黑体"/>
          <w:b/>
          <w:bCs w:val="0"/>
        </w:rPr>
      </w:pPr>
      <w:bookmarkStart w:id="20" w:name="_Toc21975"/>
      <w:r>
        <w:rPr>
          <w:rFonts w:hint="eastAsia" w:ascii="黑体" w:hAnsi="黑体" w:eastAsia="黑体"/>
        </w:rPr>
        <w:t>一、</w:t>
      </w:r>
      <w:r>
        <w:rPr>
          <w:rFonts w:hint="eastAsia" w:ascii="黑体" w:hAnsi="黑体" w:eastAsia="黑体"/>
          <w:b w:val="0"/>
        </w:rPr>
        <w:t>收入支出决算总体情况说明</w:t>
      </w:r>
      <w:bookmarkEnd w:id="20"/>
    </w:p>
    <w:p>
      <w:pPr>
        <w:adjustRightInd w:val="0"/>
        <w:snapToGrid w:val="0"/>
        <w:spacing w:line="576" w:lineRule="exact"/>
        <w:ind w:firstLine="640" w:firstLineChars="200"/>
        <w:rPr>
          <w:rFonts w:hint="eastAsia" w:ascii="仿宋_GB2312" w:hAnsi="仿宋" w:eastAsia="仿宋_GB2312"/>
          <w:sz w:val="32"/>
          <w:szCs w:val="32"/>
        </w:rPr>
      </w:pPr>
      <w:r>
        <w:rPr>
          <w:rFonts w:hint="eastAsia" w:ascii="Times New Roman" w:hAnsi="Times New Roman" w:eastAsia="方正仿宋_GBK" w:cs="Times New Roman"/>
          <w:sz w:val="32"/>
          <w:szCs w:val="32"/>
        </w:rPr>
        <w:drawing>
          <wp:anchor distT="0" distB="0" distL="114300" distR="114300" simplePos="0" relativeHeight="251684864" behindDoc="1" locked="0" layoutInCell="1" allowOverlap="1">
            <wp:simplePos x="0" y="0"/>
            <wp:positionH relativeFrom="column">
              <wp:posOffset>133350</wp:posOffset>
            </wp:positionH>
            <wp:positionV relativeFrom="paragraph">
              <wp:posOffset>1932305</wp:posOffset>
            </wp:positionV>
            <wp:extent cx="4895850" cy="1524000"/>
            <wp:effectExtent l="0" t="0" r="0" b="0"/>
            <wp:wrapSquare wrapText="bothSides"/>
            <wp:docPr id="8"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年度收、支总计</w:t>
      </w:r>
      <w:r>
        <w:rPr>
          <w:rFonts w:hint="eastAsia" w:ascii="Times New Roman" w:hAnsi="Times New Roman" w:eastAsia="方正仿宋_GBK" w:cs="Times New Roman"/>
          <w:sz w:val="32"/>
          <w:szCs w:val="32"/>
          <w:lang w:val="en-US" w:eastAsia="zh-CN"/>
        </w:rPr>
        <w:t>768.2</w:t>
      </w:r>
      <w:r>
        <w:rPr>
          <w:rFonts w:hint="eastAsia"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年相比，</w:t>
      </w:r>
      <w:r>
        <w:rPr>
          <w:rFonts w:hint="eastAsia" w:ascii="Times New Roman" w:hAnsi="Times New Roman" w:eastAsia="方正仿宋_GBK" w:cs="Times New Roman"/>
          <w:sz w:val="32"/>
          <w:szCs w:val="32"/>
          <w:lang w:eastAsia="zh-CN"/>
        </w:rPr>
        <w:t>收入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支出</w:t>
      </w:r>
      <w:r>
        <w:rPr>
          <w:rFonts w:hint="eastAsia" w:ascii="Times New Roman" w:hAnsi="Times New Roman" w:eastAsia="方正仿宋_GBK" w:cs="Times New Roman"/>
          <w:sz w:val="32"/>
          <w:szCs w:val="32"/>
        </w:rPr>
        <w:t>总计各</w:t>
      </w:r>
      <w:r>
        <w:rPr>
          <w:rFonts w:hint="eastAsia" w:ascii="Times New Roman" w:hAnsi="Times New Roman" w:eastAsia="方正仿宋_GBK" w:cs="Times New Roman"/>
          <w:sz w:val="32"/>
          <w:szCs w:val="32"/>
          <w:lang w:val="en-US" w:eastAsia="zh-CN"/>
        </w:rPr>
        <w:t>减少</w:t>
      </w:r>
      <w:r>
        <w:rPr>
          <w:rFonts w:hint="eastAsia" w:ascii="Times New Roman" w:hAnsi="Times New Roman" w:eastAsia="方正仿宋_GBK" w:cs="Times New Roman"/>
          <w:sz w:val="32"/>
          <w:szCs w:val="32"/>
        </w:rPr>
        <w:t>了</w:t>
      </w:r>
      <w:r>
        <w:rPr>
          <w:rFonts w:hint="eastAsia" w:ascii="Times New Roman" w:hAnsi="Times New Roman" w:eastAsia="方正仿宋_GBK" w:cs="Times New Roman"/>
          <w:sz w:val="32"/>
          <w:szCs w:val="32"/>
          <w:lang w:val="en-US" w:eastAsia="zh-CN"/>
        </w:rPr>
        <w:t>18.35</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降低2.33</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，主要变动原因是</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年末单位行政人员退休较多，虽有新进入人员，都为事业人员，</w:t>
      </w:r>
      <w:r>
        <w:rPr>
          <w:rFonts w:hint="eastAsia" w:ascii="Times New Roman" w:hAnsi="Times New Roman" w:eastAsia="方正仿宋_GBK" w:cs="Times New Roman"/>
          <w:sz w:val="32"/>
          <w:szCs w:val="32"/>
          <w:lang w:val="en-US" w:eastAsia="zh-CN"/>
        </w:rPr>
        <w:t>导致</w:t>
      </w:r>
      <w:r>
        <w:rPr>
          <w:rFonts w:hint="eastAsia" w:ascii="方正仿宋_GBK" w:hAnsi="方正仿宋_GBK" w:eastAsia="方正仿宋_GBK" w:cs="方正仿宋_GBK"/>
          <w:sz w:val="32"/>
          <w:szCs w:val="32"/>
          <w:lang w:val="en-US" w:eastAsia="zh-CN"/>
        </w:rPr>
        <w:t>人员经费较上一年度减少较多</w:t>
      </w:r>
      <w:r>
        <w:rPr>
          <w:rFonts w:hint="eastAsia" w:ascii="方正仿宋_GBK" w:hAnsi="方正仿宋_GBK" w:eastAsia="方正仿宋_GBK" w:cs="方正仿宋_GBK"/>
          <w:sz w:val="32"/>
          <w:szCs w:val="32"/>
        </w:rPr>
        <w:t>。</w:t>
      </w: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4"/>
        <w:adjustRightInd w:val="0"/>
        <w:snapToGrid w:val="0"/>
        <w:spacing w:line="576" w:lineRule="exact"/>
        <w:ind w:firstLine="629" w:firstLineChars="196"/>
        <w:rPr>
          <w:rStyle w:val="32"/>
          <w:rFonts w:hint="eastAsia" w:ascii="黑体" w:hAnsi="黑体" w:eastAsia="黑体"/>
          <w:b/>
          <w:bCs w:val="0"/>
        </w:rPr>
      </w:pPr>
      <w:bookmarkStart w:id="21" w:name="_Toc15396604"/>
      <w:bookmarkStart w:id="22" w:name="_Toc15377206"/>
      <w:bookmarkStart w:id="23" w:name="_Toc18891"/>
      <w:r>
        <w:rPr>
          <w:rFonts w:hint="eastAsia" w:ascii="黑体" w:hAnsi="黑体" w:eastAsia="黑体"/>
        </w:rPr>
        <w:t>二、收</w:t>
      </w:r>
      <w:r>
        <w:rPr>
          <w:rStyle w:val="32"/>
          <w:rFonts w:hint="eastAsia" w:ascii="黑体" w:hAnsi="黑体" w:eastAsia="黑体"/>
          <w:b w:val="0"/>
          <w:bCs w:val="0"/>
        </w:rPr>
        <w:t>入决算情况说明</w:t>
      </w:r>
      <w:bookmarkEnd w:id="21"/>
      <w:bookmarkEnd w:id="22"/>
      <w:bookmarkEnd w:id="23"/>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2024年本年收入合计768.2万元，其中：一般公共预算财政拨款收入768.2万元，占100%。</w:t>
      </w:r>
    </w:p>
    <w:p>
      <w:pPr>
        <w:adjustRightInd w:val="0"/>
        <w:snapToGrid w:val="0"/>
        <w:spacing w:line="576" w:lineRule="exact"/>
        <w:ind w:firstLine="640" w:firstLineChars="200"/>
        <w:outlineLvl w:val="1"/>
        <w:rPr>
          <w:rFonts w:hint="eastAsia" w:ascii="仿宋" w:hAnsi="仿宋" w:eastAsia="仿宋"/>
          <w:sz w:val="32"/>
          <w:szCs w:val="32"/>
        </w:rPr>
      </w:pPr>
      <w:bookmarkStart w:id="24" w:name="_Toc176901961"/>
      <w:bookmarkStart w:id="25" w:name="_Toc176901890"/>
      <w:bookmarkStart w:id="26" w:name="_Toc176901084"/>
      <w:bookmarkStart w:id="27" w:name="_Toc176901229"/>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36736" behindDoc="0" locked="0" layoutInCell="1" allowOverlap="1">
            <wp:simplePos x="0" y="0"/>
            <wp:positionH relativeFrom="column">
              <wp:posOffset>561975</wp:posOffset>
            </wp:positionH>
            <wp:positionV relativeFrom="paragraph">
              <wp:posOffset>83185</wp:posOffset>
            </wp:positionV>
            <wp:extent cx="4286250" cy="1209675"/>
            <wp:effectExtent l="0" t="0" r="0" b="0"/>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24"/>
      <w:bookmarkEnd w:id="25"/>
      <w:bookmarkEnd w:id="26"/>
      <w:bookmarkEnd w:id="27"/>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pPr>
        <w:pStyle w:val="4"/>
        <w:adjustRightInd w:val="0"/>
        <w:snapToGrid w:val="0"/>
        <w:spacing w:line="576" w:lineRule="exact"/>
        <w:ind w:firstLine="629" w:firstLineChars="196"/>
        <w:rPr>
          <w:rStyle w:val="32"/>
          <w:rFonts w:hint="eastAsia" w:ascii="黑体" w:hAnsi="黑体" w:eastAsia="黑体"/>
          <w:b/>
          <w:bCs w:val="0"/>
        </w:rPr>
      </w:pPr>
      <w:bookmarkStart w:id="28" w:name="_Toc15377207"/>
      <w:bookmarkStart w:id="29" w:name="_Toc15396605"/>
      <w:bookmarkStart w:id="30" w:name="_Toc9093"/>
      <w:r>
        <w:rPr>
          <w:rFonts w:hint="eastAsia" w:ascii="黑体" w:hAnsi="黑体" w:eastAsia="黑体"/>
        </w:rPr>
        <w:t>三、支</w:t>
      </w:r>
      <w:r>
        <w:rPr>
          <w:rStyle w:val="32"/>
          <w:rFonts w:hint="eastAsia" w:ascii="黑体" w:hAnsi="黑体" w:eastAsia="黑体"/>
          <w:b w:val="0"/>
          <w:bCs w:val="0"/>
        </w:rPr>
        <w:t>出决算情况说明</w:t>
      </w:r>
      <w:bookmarkEnd w:id="28"/>
      <w:bookmarkEnd w:id="29"/>
      <w:bookmarkEnd w:id="30"/>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2024年本年支出合计768.2万元，其中：543.2万元，占70.71%；项目支出225万元，占29.28%。</w:t>
      </w:r>
    </w:p>
    <w:p>
      <w:pPr>
        <w:adjustRightInd w:val="0"/>
        <w:snapToGrid w:val="0"/>
        <w:spacing w:line="576" w:lineRule="exact"/>
      </w:pPr>
      <w:r>
        <w:drawing>
          <wp:anchor distT="0" distB="0" distL="114300" distR="114300" simplePos="0" relativeHeight="251643904" behindDoc="1" locked="0" layoutInCell="1" allowOverlap="1">
            <wp:simplePos x="0" y="0"/>
            <wp:positionH relativeFrom="column">
              <wp:posOffset>400050</wp:posOffset>
            </wp:positionH>
            <wp:positionV relativeFrom="paragraph">
              <wp:posOffset>178435</wp:posOffset>
            </wp:positionV>
            <wp:extent cx="4229100" cy="1685925"/>
            <wp:effectExtent l="0" t="0" r="0" b="0"/>
            <wp:wrapTight wrapText="bothSides">
              <wp:wrapPolygon>
                <wp:start x="8270" y="1708"/>
                <wp:lineTo x="5351" y="1708"/>
                <wp:lineTo x="5157" y="1953"/>
                <wp:lineTo x="5157" y="20014"/>
                <wp:lineTo x="12551" y="20014"/>
                <wp:lineTo x="12551" y="17329"/>
                <wp:lineTo x="19849" y="17329"/>
                <wp:lineTo x="21503" y="16597"/>
                <wp:lineTo x="21503" y="7566"/>
                <wp:lineTo x="20335" y="7078"/>
                <wp:lineTo x="12551" y="5614"/>
                <wp:lineTo x="12746" y="2197"/>
                <wp:lineTo x="12259" y="1708"/>
                <wp:lineTo x="9341" y="1708"/>
                <wp:lineTo x="8270" y="1708"/>
              </wp:wrapPolygon>
            </wp:wrapTight>
            <wp:docPr id="9"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adjustRightInd w:val="0"/>
        <w:snapToGrid w:val="0"/>
        <w:spacing w:line="576" w:lineRule="exact"/>
      </w:pPr>
    </w:p>
    <w:p>
      <w:pPr>
        <w:adjustRightInd w:val="0"/>
        <w:snapToGrid w:val="0"/>
        <w:spacing w:line="576" w:lineRule="exact"/>
      </w:pPr>
    </w:p>
    <w:p>
      <w:pPr>
        <w:adjustRightInd w:val="0"/>
        <w:snapToGrid w:val="0"/>
        <w:spacing w:line="576" w:lineRule="exact"/>
      </w:pP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ind w:firstLine="640" w:firstLineChars="200"/>
      </w:pPr>
      <w:r>
        <w:rPr>
          <w:rFonts w:hint="eastAsia" w:ascii="仿宋" w:hAnsi="仿宋" w:eastAsia="仿宋"/>
          <w:sz w:val="32"/>
          <w:szCs w:val="32"/>
        </w:rPr>
        <w:t>（图3：支出决算结构图）（饼状图）</w:t>
      </w:r>
    </w:p>
    <w:p>
      <w:pPr>
        <w:pStyle w:val="4"/>
        <w:adjustRightInd w:val="0"/>
        <w:snapToGrid w:val="0"/>
        <w:spacing w:line="576" w:lineRule="exact"/>
        <w:ind w:firstLine="627" w:firstLineChars="196"/>
        <w:rPr>
          <w:rStyle w:val="32"/>
          <w:rFonts w:hint="eastAsia" w:ascii="黑体" w:hAnsi="黑体" w:eastAsia="黑体"/>
          <w:b w:val="0"/>
          <w:bCs w:val="0"/>
        </w:rPr>
      </w:pPr>
      <w:bookmarkStart w:id="31" w:name="_Toc22563"/>
      <w:bookmarkStart w:id="32" w:name="_Toc15377208"/>
      <w:bookmarkStart w:id="33" w:name="_Toc15396606"/>
      <w:r>
        <w:rPr>
          <w:rFonts w:hint="eastAsia" w:ascii="黑体" w:hAnsi="黑体" w:eastAsia="黑体"/>
          <w:b w:val="0"/>
        </w:rPr>
        <w:t>四、</w:t>
      </w:r>
      <w:r>
        <w:rPr>
          <w:rFonts w:hint="eastAsia" w:ascii="黑体" w:hAnsi="黑体" w:eastAsia="黑体"/>
        </w:rPr>
        <w:t>财</w:t>
      </w:r>
      <w:r>
        <w:rPr>
          <w:rStyle w:val="32"/>
          <w:rFonts w:hint="eastAsia" w:ascii="黑体" w:hAnsi="黑体" w:eastAsia="黑体"/>
          <w:b w:val="0"/>
          <w:bCs w:val="0"/>
        </w:rPr>
        <w:t>政拨款收入支出决算总体情况说明</w:t>
      </w:r>
      <w:bookmarkEnd w:id="31"/>
      <w:bookmarkEnd w:id="32"/>
      <w:bookmarkEnd w:id="33"/>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2024年财政拨款收、支总计</w:t>
      </w:r>
      <w:r>
        <w:rPr>
          <w:rFonts w:hint="eastAsia" w:ascii="Times New Roman" w:hAnsi="Times New Roman" w:eastAsia="仿宋_GB2312" w:cs="仿宋_GB2312"/>
          <w:color w:val="auto"/>
          <w:kern w:val="2"/>
          <w:sz w:val="32"/>
          <w:szCs w:val="32"/>
          <w:highlight w:val="none"/>
          <w:lang w:val="en-US" w:eastAsia="zh-CN" w:bidi="ar-SA"/>
        </w:rPr>
        <w:t>均为</w:t>
      </w:r>
      <w:r>
        <w:rPr>
          <w:rFonts w:hint="eastAsia" w:ascii="Times New Roman" w:hAnsi="Times New Roman" w:eastAsia="方正仿宋_GBK" w:cs="Times New Roman"/>
          <w:sz w:val="32"/>
          <w:szCs w:val="32"/>
          <w:lang w:val="en-US" w:eastAsia="zh-CN"/>
        </w:rPr>
        <w:t>768.2万元。与2023年相比，财政拨款收、支总计均减少了18.35万元，降低2.33%。主要变动原因是2023</w:t>
      </w:r>
      <w:r>
        <w:rPr>
          <w:rFonts w:hint="eastAsia" w:ascii="方正仿宋_GBK" w:hAnsi="方正仿宋_GBK" w:eastAsia="方正仿宋_GBK" w:cs="方正仿宋_GBK"/>
          <w:sz w:val="32"/>
          <w:szCs w:val="32"/>
          <w:lang w:val="en-US" w:eastAsia="zh-CN"/>
        </w:rPr>
        <w:t>年末单位行政人员退休较多，虽有新进入人员，都为事业人员，</w:t>
      </w:r>
      <w:r>
        <w:rPr>
          <w:rFonts w:hint="eastAsia" w:ascii="Times New Roman" w:hAnsi="Times New Roman" w:eastAsia="方正仿宋_GBK" w:cs="Times New Roman"/>
          <w:sz w:val="32"/>
          <w:szCs w:val="32"/>
          <w:lang w:val="en-US" w:eastAsia="zh-CN"/>
        </w:rPr>
        <w:t>导致</w:t>
      </w:r>
      <w:r>
        <w:rPr>
          <w:rFonts w:hint="eastAsia" w:ascii="方正仿宋_GBK" w:hAnsi="方正仿宋_GBK" w:eastAsia="方正仿宋_GBK" w:cs="方正仿宋_GBK"/>
          <w:sz w:val="32"/>
          <w:szCs w:val="32"/>
          <w:lang w:val="en-US" w:eastAsia="zh-CN"/>
        </w:rPr>
        <w:t>人员经费较上一年度减少较多</w:t>
      </w:r>
      <w:r>
        <w:rPr>
          <w:rFonts w:hint="eastAsia" w:ascii="方正仿宋_GBK" w:hAnsi="方正仿宋_GBK" w:eastAsia="方正仿宋_GBK" w:cs="方正仿宋_GBK"/>
          <w:sz w:val="32"/>
          <w:szCs w:val="32"/>
        </w:rPr>
        <w:t>。</w:t>
      </w:r>
    </w:p>
    <w:p>
      <w:pPr>
        <w:adjustRightInd w:val="0"/>
        <w:snapToGrid w:val="0"/>
        <w:spacing w:line="576" w:lineRule="exact"/>
        <w:ind w:firstLine="640" w:firstLineChars="200"/>
        <w:rPr>
          <w:rFonts w:hint="eastAsia" w:ascii="仿宋" w:hAnsi="仿宋" w:eastAsia="仿宋"/>
          <w:sz w:val="32"/>
          <w:szCs w:val="32"/>
        </w:rPr>
      </w:pPr>
      <w:r>
        <w:rPr>
          <w:rFonts w:hint="eastAsia" w:ascii="黑体" w:hAnsi="黑体" w:eastAsia="黑体"/>
          <w:color w:val="000000"/>
          <w:sz w:val="32"/>
          <w:szCs w:val="32"/>
        </w:rPr>
        <w:drawing>
          <wp:anchor distT="0" distB="0" distL="114300" distR="114300" simplePos="0" relativeHeight="251651072" behindDoc="1" locked="0" layoutInCell="1" allowOverlap="1">
            <wp:simplePos x="0" y="0"/>
            <wp:positionH relativeFrom="column">
              <wp:posOffset>590550</wp:posOffset>
            </wp:positionH>
            <wp:positionV relativeFrom="paragraph">
              <wp:posOffset>61595</wp:posOffset>
            </wp:positionV>
            <wp:extent cx="4362450" cy="2133600"/>
            <wp:effectExtent l="0" t="0" r="0" b="0"/>
            <wp:wrapTight wrapText="bothSides">
              <wp:wrapPolygon>
                <wp:start x="566" y="0"/>
                <wp:lineTo x="566" y="1157"/>
                <wp:lineTo x="1981" y="3086"/>
                <wp:lineTo x="660" y="3664"/>
                <wp:lineTo x="660" y="5207"/>
                <wp:lineTo x="2735" y="6171"/>
                <wp:lineTo x="755" y="7714"/>
                <wp:lineTo x="566" y="8100"/>
                <wp:lineTo x="660" y="12343"/>
                <wp:lineTo x="755" y="13114"/>
                <wp:lineTo x="2264" y="15429"/>
                <wp:lineTo x="660" y="15429"/>
                <wp:lineTo x="755" y="16971"/>
                <wp:lineTo x="3773" y="18514"/>
                <wp:lineTo x="3773" y="20250"/>
                <wp:lineTo x="13677" y="20250"/>
                <wp:lineTo x="13866" y="18707"/>
                <wp:lineTo x="14243" y="18514"/>
                <wp:lineTo x="15469" y="16200"/>
                <wp:lineTo x="15469" y="15429"/>
                <wp:lineTo x="16224" y="15429"/>
                <wp:lineTo x="21411" y="12729"/>
                <wp:lineTo x="21506" y="4243"/>
                <wp:lineTo x="20751" y="3857"/>
                <wp:lineTo x="15469" y="3086"/>
                <wp:lineTo x="15658" y="771"/>
                <wp:lineTo x="14903" y="579"/>
                <wp:lineTo x="2358" y="0"/>
                <wp:lineTo x="566" y="0"/>
              </wp:wrapPolygon>
            </wp:wrapTight>
            <wp:docPr id="3"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p>
    <w:p>
      <w:pPr>
        <w:adjustRightInd w:val="0"/>
        <w:snapToGrid w:val="0"/>
        <w:spacing w:line="576" w:lineRule="exact"/>
        <w:rPr>
          <w:rFonts w:hint="eastAsia" w:ascii="仿宋" w:hAnsi="仿宋" w:eastAsia="仿宋"/>
          <w:sz w:val="32"/>
          <w:szCs w:val="32"/>
        </w:rPr>
      </w:pPr>
    </w:p>
    <w:p>
      <w:pPr>
        <w:adjustRightInd w:val="0"/>
        <w:snapToGrid w:val="0"/>
        <w:spacing w:line="576" w:lineRule="exact"/>
        <w:rPr>
          <w:rFonts w:hint="eastAsia" w:ascii="仿宋" w:hAnsi="仿宋" w:eastAsia="仿宋"/>
          <w:sz w:val="32"/>
          <w:szCs w:val="32"/>
        </w:rPr>
      </w:pPr>
    </w:p>
    <w:p>
      <w:pPr>
        <w:adjustRightInd w:val="0"/>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pStyle w:val="4"/>
        <w:adjustRightInd w:val="0"/>
        <w:snapToGrid w:val="0"/>
        <w:spacing w:line="576" w:lineRule="exact"/>
        <w:ind w:firstLine="640" w:firstLineChars="200"/>
        <w:rPr>
          <w:rStyle w:val="32"/>
          <w:rFonts w:hint="eastAsia" w:ascii="黑体" w:hAnsi="黑体" w:eastAsia="黑体"/>
          <w:b/>
          <w:bCs w:val="0"/>
        </w:rPr>
      </w:pPr>
      <w:bookmarkStart w:id="34" w:name="_Toc15396607"/>
      <w:bookmarkStart w:id="35" w:name="_Toc18403"/>
      <w:bookmarkStart w:id="36" w:name="_Toc15377209"/>
      <w:r>
        <w:rPr>
          <w:rFonts w:hint="eastAsia" w:ascii="黑体" w:hAnsi="黑体" w:eastAsia="黑体"/>
          <w:b w:val="0"/>
        </w:rPr>
        <w:t>五、</w:t>
      </w:r>
      <w:r>
        <w:rPr>
          <w:rFonts w:hint="eastAsia" w:ascii="黑体" w:hAnsi="黑体" w:eastAsia="黑体"/>
        </w:rPr>
        <w:t>一</w:t>
      </w:r>
      <w:r>
        <w:rPr>
          <w:rStyle w:val="32"/>
          <w:rFonts w:hint="eastAsia" w:ascii="黑体" w:hAnsi="黑体" w:eastAsia="黑体"/>
          <w:b w:val="0"/>
          <w:bCs w:val="0"/>
        </w:rPr>
        <w:t>般公共预算财政拨款支出决算情况说明</w:t>
      </w:r>
      <w:bookmarkEnd w:id="34"/>
      <w:bookmarkEnd w:id="35"/>
      <w:bookmarkEnd w:id="36"/>
    </w:p>
    <w:p>
      <w:pPr>
        <w:pStyle w:val="5"/>
        <w:ind w:firstLine="642" w:firstLineChars="200"/>
        <w:rPr>
          <w:rFonts w:ascii="楷体_GB2312" w:eastAsia="楷体_GB2312"/>
        </w:rPr>
      </w:pPr>
      <w:bookmarkStart w:id="37" w:name="_Toc21639"/>
      <w:bookmarkStart w:id="38" w:name="_Toc15377210"/>
      <w:r>
        <w:rPr>
          <w:rFonts w:hint="eastAsia" w:ascii="楷体_GB2312" w:eastAsia="楷体_GB2312"/>
        </w:rPr>
        <w:t>（一）一般公共预算财政拨款支出决算总体情况</w:t>
      </w:r>
      <w:bookmarkEnd w:id="37"/>
      <w:bookmarkEnd w:id="38"/>
    </w:p>
    <w:p>
      <w:pPr>
        <w:adjustRightInd w:val="0"/>
        <w:snapToGrid w:val="0"/>
        <w:spacing w:line="576" w:lineRule="exact"/>
        <w:ind w:firstLine="640" w:firstLineChars="20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2024年一般公共预算财政拨款支出768.2万元，占本年支出合计的100%。与2023年相比，一般公共预算财政拨款支出减少了8.89万元，降低1.14%。主要变动原因是2023</w:t>
      </w:r>
      <w:r>
        <w:rPr>
          <w:rFonts w:hint="eastAsia" w:ascii="方正仿宋_GBK" w:hAnsi="方正仿宋_GBK" w:eastAsia="方正仿宋_GBK" w:cs="方正仿宋_GBK"/>
          <w:sz w:val="32"/>
          <w:szCs w:val="32"/>
          <w:lang w:val="en-US" w:eastAsia="zh-CN"/>
        </w:rPr>
        <w:t>年末单位行政人员退休较多，虽有新进入人员，都为事业人员，</w:t>
      </w:r>
      <w:r>
        <w:rPr>
          <w:rFonts w:hint="eastAsia" w:ascii="Times New Roman" w:hAnsi="Times New Roman" w:eastAsia="方正仿宋_GBK" w:cs="Times New Roman"/>
          <w:sz w:val="32"/>
          <w:szCs w:val="32"/>
          <w:lang w:val="en-US" w:eastAsia="zh-CN"/>
        </w:rPr>
        <w:t>导致</w:t>
      </w:r>
      <w:r>
        <w:rPr>
          <w:rFonts w:hint="eastAsia" w:ascii="方正仿宋_GBK" w:hAnsi="方正仿宋_GBK" w:eastAsia="方正仿宋_GBK" w:cs="方正仿宋_GBK"/>
          <w:sz w:val="32"/>
          <w:szCs w:val="32"/>
          <w:lang w:val="en-US" w:eastAsia="zh-CN"/>
        </w:rPr>
        <w:t>人员经费较上一年度减少较多</w:t>
      </w:r>
      <w:r>
        <w:rPr>
          <w:rFonts w:hint="eastAsia" w:ascii="方正仿宋_GBK" w:hAnsi="方正仿宋_GBK" w:eastAsia="方正仿宋_GBK" w:cs="方正仿宋_GBK"/>
          <w:sz w:val="32"/>
          <w:szCs w:val="32"/>
        </w:rPr>
        <w:t>。</w:t>
      </w:r>
    </w:p>
    <w:p>
      <w:pPr>
        <w:adjustRightInd w:val="0"/>
        <w:snapToGrid w:val="0"/>
        <w:spacing w:line="576" w:lineRule="exact"/>
        <w:ind w:firstLine="640" w:firstLineChars="20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drawing>
          <wp:anchor distT="0" distB="0" distL="114300" distR="114300" simplePos="0" relativeHeight="251658240" behindDoc="0" locked="0" layoutInCell="1" allowOverlap="1">
            <wp:simplePos x="0" y="0"/>
            <wp:positionH relativeFrom="column">
              <wp:posOffset>-9525</wp:posOffset>
            </wp:positionH>
            <wp:positionV relativeFrom="paragraph">
              <wp:posOffset>200660</wp:posOffset>
            </wp:positionV>
            <wp:extent cx="5610225" cy="2343150"/>
            <wp:effectExtent l="0" t="0" r="0" b="0"/>
            <wp:wrapSquare wrapText="bothSides"/>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（图5：一般公共预算财政拨款支出决算变动情况）（柱状图）</w:t>
      </w:r>
    </w:p>
    <w:p>
      <w:pPr>
        <w:pStyle w:val="5"/>
        <w:ind w:firstLine="642" w:firstLineChars="200"/>
        <w:rPr>
          <w:rFonts w:ascii="楷体_GB2312" w:eastAsia="楷体_GB2312"/>
        </w:rPr>
      </w:pPr>
      <w:bookmarkStart w:id="39" w:name="_Toc19679"/>
      <w:bookmarkStart w:id="40" w:name="_Toc15377211"/>
      <w:r>
        <w:rPr>
          <w:rFonts w:hint="eastAsia" w:ascii="楷体_GB2312" w:eastAsia="楷体_GB2312"/>
        </w:rPr>
        <w:t>（二）一般公共预算财政拨款支出决算结构情况</w:t>
      </w:r>
      <w:bookmarkEnd w:id="39"/>
      <w:bookmarkEnd w:id="40"/>
    </w:p>
    <w:p>
      <w:pPr>
        <w:adjustRightInd w:val="0"/>
        <w:snapToGrid w:val="0"/>
        <w:spacing w:line="576" w:lineRule="exact"/>
        <w:ind w:firstLine="640"/>
        <w:rPr>
          <w:rFonts w:hint="eastAsia" w:ascii="仿宋_GB2312" w:hAnsi="仿宋" w:eastAsia="仿宋_GB2312"/>
          <w:sz w:val="32"/>
          <w:szCs w:val="32"/>
        </w:rPr>
      </w:pPr>
      <w:r>
        <w:rPr>
          <w:rFonts w:hint="eastAsia" w:ascii="Times New Roman" w:hAnsi="Times New Roman" w:eastAsia="方正仿宋_GBK" w:cs="Times New Roman"/>
          <w:sz w:val="32"/>
          <w:szCs w:val="32"/>
          <w:lang w:val="en-US" w:eastAsia="zh-CN"/>
        </w:rPr>
        <w:t>2024年一般公共预算财政拨款支出768.2万元，主要用于以下方面:一般公共服务支出516.64万元，占67.26%；社会保障和就业支出141.01万元，占18.36%；卫生健康支出26.68万元，占3.47%；农林水支出50.26万元，占6.54%；住房保障支出33.6万元，占4.37%。</w:t>
      </w:r>
    </w:p>
    <w:p>
      <w:pPr>
        <w:adjustRightInd w:val="0"/>
        <w:snapToGrid w:val="0"/>
        <w:spacing w:line="576" w:lineRule="exact"/>
        <w:ind w:firstLine="640" w:firstLineChars="200"/>
        <w:outlineLvl w:val="2"/>
        <w:rPr>
          <w:rFonts w:hint="eastAsia" w:ascii="仿宋" w:hAnsi="仿宋" w:eastAsia="仿宋"/>
          <w:sz w:val="32"/>
          <w:szCs w:val="32"/>
        </w:rPr>
      </w:pPr>
      <w:bookmarkStart w:id="41" w:name="_Toc176901896"/>
      <w:bookmarkStart w:id="42" w:name="_Toc176901090"/>
      <w:bookmarkStart w:id="43" w:name="_Toc176901967"/>
      <w:bookmarkStart w:id="44" w:name="_Toc176901235"/>
      <w:bookmarkStart w:id="45" w:name="_Toc15377212"/>
      <w:r>
        <w:rPr>
          <w:rFonts w:hint="eastAsia" w:ascii="仿宋" w:hAnsi="仿宋" w:eastAsia="仿宋"/>
          <w:sz w:val="32"/>
          <w:szCs w:val="32"/>
        </w:rPr>
        <w:drawing>
          <wp:anchor distT="0" distB="0" distL="114300" distR="114300" simplePos="0" relativeHeight="251669504" behindDoc="1" locked="0" layoutInCell="1" allowOverlap="0">
            <wp:simplePos x="0" y="0"/>
            <wp:positionH relativeFrom="column">
              <wp:posOffset>38100</wp:posOffset>
            </wp:positionH>
            <wp:positionV relativeFrom="paragraph">
              <wp:posOffset>219075</wp:posOffset>
            </wp:positionV>
            <wp:extent cx="4876800" cy="1476375"/>
            <wp:effectExtent l="0" t="0" r="0" b="0"/>
            <wp:wrapSquare wrapText="bothSides"/>
            <wp:docPr id="5"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41"/>
      <w:bookmarkEnd w:id="42"/>
      <w:bookmarkEnd w:id="43"/>
      <w:bookmarkEnd w:id="44"/>
    </w:p>
    <w:p>
      <w:pPr>
        <w:adjustRightInd w:val="0"/>
        <w:snapToGrid w:val="0"/>
        <w:spacing w:line="576" w:lineRule="exact"/>
        <w:outlineLvl w:val="2"/>
        <w:rPr>
          <w:rFonts w:hint="eastAsia" w:ascii="仿宋" w:hAnsi="仿宋" w:eastAsia="仿宋"/>
          <w:sz w:val="32"/>
          <w:szCs w:val="32"/>
        </w:rPr>
      </w:pPr>
    </w:p>
    <w:p>
      <w:pPr>
        <w:adjustRightInd w:val="0"/>
        <w:snapToGrid w:val="0"/>
        <w:spacing w:line="576" w:lineRule="exact"/>
        <w:ind w:firstLine="640" w:firstLineChars="200"/>
        <w:outlineLvl w:val="2"/>
        <w:rPr>
          <w:rFonts w:hint="eastAsia" w:ascii="仿宋" w:hAnsi="仿宋" w:eastAsia="仿宋"/>
          <w:sz w:val="32"/>
          <w:szCs w:val="32"/>
        </w:rPr>
      </w:pPr>
      <w:bookmarkStart w:id="46" w:name="_Toc176901091"/>
      <w:bookmarkStart w:id="47" w:name="_Toc176901968"/>
      <w:bookmarkStart w:id="48" w:name="_Toc176901897"/>
      <w:bookmarkStart w:id="49" w:name="_Toc176901236"/>
    </w:p>
    <w:p>
      <w:pPr>
        <w:adjustRightInd w:val="0"/>
        <w:snapToGrid w:val="0"/>
        <w:spacing w:line="576" w:lineRule="exact"/>
        <w:ind w:firstLine="640" w:firstLineChars="200"/>
        <w:outlineLvl w:val="2"/>
        <w:rPr>
          <w:rFonts w:hint="eastAsia" w:ascii="仿宋" w:hAnsi="仿宋" w:eastAsia="仿宋"/>
          <w:sz w:val="32"/>
          <w:szCs w:val="32"/>
        </w:rPr>
      </w:pPr>
    </w:p>
    <w:p>
      <w:pPr>
        <w:adjustRightInd w:val="0"/>
        <w:snapToGrid w:val="0"/>
        <w:spacing w:line="576" w:lineRule="exact"/>
        <w:ind w:firstLine="640" w:firstLineChars="200"/>
        <w:outlineLvl w:val="2"/>
        <w:rPr>
          <w:rFonts w:hint="eastAsia" w:ascii="仿宋" w:hAnsi="仿宋" w:eastAsia="仿宋"/>
          <w:sz w:val="32"/>
          <w:szCs w:val="32"/>
        </w:rPr>
      </w:pPr>
    </w:p>
    <w:p>
      <w:pPr>
        <w:adjustRightInd w:val="0"/>
        <w:snapToGrid w:val="0"/>
        <w:spacing w:line="576" w:lineRule="exact"/>
        <w:ind w:firstLine="640" w:firstLineChars="200"/>
        <w:outlineLvl w:val="2"/>
        <w:rPr>
          <w:rFonts w:hint="eastAsia"/>
        </w:rPr>
      </w:pPr>
      <w:bookmarkStart w:id="50" w:name="_Toc8027"/>
      <w:bookmarkStart w:id="51" w:name="_Toc21366"/>
      <w:r>
        <w:rPr>
          <w:rFonts w:hint="eastAsia" w:ascii="仿宋" w:hAnsi="仿宋" w:eastAsia="仿宋"/>
          <w:sz w:val="32"/>
          <w:szCs w:val="32"/>
        </w:rPr>
        <w:t>（图6：一般公共预算财政拨款支出决算结构）（饼状图）</w:t>
      </w:r>
      <w:bookmarkEnd w:id="46"/>
      <w:bookmarkEnd w:id="47"/>
      <w:bookmarkEnd w:id="48"/>
      <w:bookmarkEnd w:id="49"/>
      <w:bookmarkEnd w:id="50"/>
      <w:bookmarkEnd w:id="51"/>
    </w:p>
    <w:p>
      <w:pPr>
        <w:pStyle w:val="5"/>
        <w:ind w:firstLine="642" w:firstLineChars="200"/>
        <w:rPr>
          <w:rFonts w:ascii="楷体_GB2312" w:eastAsia="楷体_GB2312"/>
        </w:rPr>
      </w:pPr>
      <w:bookmarkStart w:id="52" w:name="_Toc29838"/>
      <w:r>
        <w:rPr>
          <w:rFonts w:hint="eastAsia" w:ascii="楷体_GB2312" w:eastAsia="楷体_GB2312"/>
        </w:rPr>
        <w:t>（三）一般公共预算财政拨款支出决算具体情况</w:t>
      </w:r>
      <w:bookmarkEnd w:id="45"/>
      <w:bookmarkEnd w:id="52"/>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bookmarkStart w:id="53" w:name="_Toc15377213"/>
      <w:bookmarkStart w:id="54" w:name="_Toc15377444"/>
      <w:bookmarkStart w:id="55" w:name="_Toc15378460"/>
      <w:r>
        <w:rPr>
          <w:rFonts w:hint="eastAsia" w:ascii="Times New Roman" w:hAnsi="Times New Roman" w:eastAsia="方正仿宋_GBK" w:cs="Times New Roman"/>
          <w:sz w:val="32"/>
          <w:szCs w:val="32"/>
          <w:lang w:val="en-US" w:eastAsia="zh-CN"/>
        </w:rPr>
        <w:t>2024年一般公共预算支出决算数为768.2万元，完成预算100%。其中：</w:t>
      </w:r>
      <w:bookmarkEnd w:id="53"/>
      <w:bookmarkEnd w:id="54"/>
      <w:bookmarkEnd w:id="55"/>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1.一般公共服务支出（类）民族事务（款）行政运行（项）:支出决算为229.99万元，完成预算100%。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一般公共服务支出（类）民族事务（款）事业运行（项）：支出决算为111.91万元，完成预算100%。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一般公共服务支出（类）民族事务（款）其他民族事务支出（项）：支出决算为173.21万元，完成预算100%。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一般公共服务支出（类）组织事务（款）其他组织事务支出（项）：支出决算为1.53万元，完成预算100%。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2.社会保障和就业支出（类）行政事业单位养老支出（款）行政单位离退休（项）：支出决算数为59.7万元，完成预算100%。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社会保障和就业支出（类）行政事业单位养老支出（款）事业单位离退休（项）：支出决算数为8.14万元，完成预算100%。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社会保障和就业支出（类）行政事业单位养老支出（款）机关事业单位基本养老保险缴费支出（项）：支出决算数为41.66万元，完成预算100%。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社会保障和就业支出（类）行政事业单位养老支出（款）机关事业单位职业年金缴费支出（项）：支出决算数为7.59万元，完成预算100%。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社会保障和就业支出（类）抚恤（款）死亡抚恤（项）：支出决算数为23.92万元，完成预算100%。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3.卫生健康支出（类）行政事业单位医疗（款）行政单位医疗（项）：支出决算数为14.43万元，完成预算100%。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卫生健康支出（类）行政事业单位医疗（款）事业单位医疗（项）：支出决算数为7.08万元，完成预算100%。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卫生健康支出（类）行政事业单位医疗（款）公务员医疗补助（项）：支出决算数为2.49万元，完成预算100%。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卫生健康支出（类）行政事业单位医疗（款）其他行政事业单位医疗支出（项）：支出决算数为2.68万元，完成预算100%。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4.农林水支出（类）农业农村（款）其他农业农村支出（项）:支出决算数为49.75万元，完成预算100%。</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农林水支出（类）其他农林水支出（款）其他农林水支出（项）:支出决算数为0.51万元，完成预算100%。</w:t>
      </w:r>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5.住房保障支出（类）住房改革支出（款）住房公积金（项）：支出决算数为33.6万元，完成预算100%。</w:t>
      </w:r>
    </w:p>
    <w:p>
      <w:pPr>
        <w:pStyle w:val="4"/>
        <w:adjustRightInd w:val="0"/>
        <w:snapToGrid w:val="0"/>
        <w:spacing w:line="576" w:lineRule="exact"/>
        <w:ind w:firstLine="640" w:firstLineChars="200"/>
        <w:rPr>
          <w:rStyle w:val="32"/>
          <w:rFonts w:hint="eastAsia" w:ascii="黑体" w:hAnsi="黑体" w:eastAsia="黑体"/>
          <w:b/>
          <w:bCs w:val="0"/>
        </w:rPr>
      </w:pPr>
      <w:bookmarkStart w:id="56" w:name="_Toc15377214"/>
      <w:bookmarkStart w:id="57" w:name="_Toc15396608"/>
      <w:bookmarkStart w:id="58" w:name="_Toc22730"/>
      <w:r>
        <w:rPr>
          <w:rFonts w:hint="eastAsia" w:ascii="黑体" w:hAnsi="黑体" w:eastAsia="黑体"/>
          <w:b w:val="0"/>
        </w:rPr>
        <w:t>六、</w:t>
      </w:r>
      <w:r>
        <w:rPr>
          <w:rFonts w:hint="eastAsia" w:ascii="黑体" w:hAnsi="黑体" w:eastAsia="黑体"/>
        </w:rPr>
        <w:t>一</w:t>
      </w:r>
      <w:r>
        <w:rPr>
          <w:rStyle w:val="32"/>
          <w:rFonts w:hint="eastAsia" w:ascii="黑体" w:hAnsi="黑体" w:eastAsia="黑体"/>
          <w:b w:val="0"/>
          <w:bCs w:val="0"/>
        </w:rPr>
        <w:t>般公共预算财政拨款基本支出决算情况说明</w:t>
      </w:r>
      <w:bookmarkEnd w:id="56"/>
      <w:bookmarkEnd w:id="57"/>
      <w:bookmarkEnd w:id="58"/>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2024年一般公共预算财政拨款基本支出543.2万元，其中：</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人员经费485.85万元，主要包括：基本工资、津贴补贴、奖金、绩效工资、机关事业单位基本养老保险缴费、职业年金缴费、职工基本医疗保险缴费、公务员医疗补助缴费、其他社会保障缴费、其他工资福利支出、抚恤金、生活补助、医疗费补助、其他对个人和家庭的补助、住房公积金等。</w:t>
      </w:r>
    </w:p>
    <w:p>
      <w:pPr>
        <w:adjustRightInd w:val="0"/>
        <w:snapToGrid w:val="0"/>
        <w:spacing w:line="576" w:lineRule="exact"/>
        <w:ind w:firstLine="640"/>
        <w:rPr>
          <w:rFonts w:hint="eastAsia" w:ascii="仿宋_GB2312" w:hAnsi="仿宋" w:eastAsia="仿宋_GB2312"/>
          <w:sz w:val="32"/>
          <w:szCs w:val="32"/>
        </w:rPr>
      </w:pPr>
      <w:r>
        <w:rPr>
          <w:rFonts w:hint="eastAsia" w:ascii="Times New Roman" w:hAnsi="Times New Roman" w:eastAsia="方正仿宋_GBK" w:cs="Times New Roman"/>
          <w:sz w:val="32"/>
          <w:szCs w:val="32"/>
          <w:lang w:val="en-US" w:eastAsia="zh-CN"/>
        </w:rPr>
        <w:t>公用经费57.34万元，主要包括：办公费、印刷费、水费、电费、邮电费、差旅费、维修（护）费、会议费、培训费、公务接待费、劳务费、委托业务费、工会经费、福利</w:t>
      </w:r>
      <w:r>
        <w:rPr>
          <w:rFonts w:hint="eastAsia" w:ascii="方正仿宋_GBK" w:hAnsi="方正仿宋_GBK" w:eastAsia="方正仿宋_GBK" w:cs="方正仿宋_GBK"/>
          <w:color w:val="000000"/>
          <w:sz w:val="32"/>
          <w:szCs w:val="32"/>
        </w:rPr>
        <w:t>费、公务用车运行维护费、其他交通费、其他商品和服务支出</w:t>
      </w:r>
      <w:r>
        <w:rPr>
          <w:rFonts w:hint="eastAsia" w:ascii="方正仿宋_GBK" w:hAnsi="方正仿宋_GBK" w:eastAsia="方正仿宋_GBK" w:cs="方正仿宋_GBK"/>
          <w:color w:val="000000"/>
          <w:sz w:val="32"/>
          <w:szCs w:val="32"/>
          <w:lang w:eastAsia="zh-CN"/>
        </w:rPr>
        <w:t>、办公设备购置</w:t>
      </w:r>
      <w:r>
        <w:rPr>
          <w:rFonts w:hint="eastAsia" w:ascii="方正仿宋_GBK" w:hAnsi="方正仿宋_GBK" w:eastAsia="方正仿宋_GBK" w:cs="方正仿宋_GBK"/>
          <w:color w:val="000000"/>
          <w:sz w:val="32"/>
          <w:szCs w:val="32"/>
        </w:rPr>
        <w:t>等</w:t>
      </w:r>
      <w:r>
        <w:rPr>
          <w:rFonts w:hint="eastAsia" w:ascii="方正仿宋_GBK" w:hAnsi="方正仿宋_GBK" w:eastAsia="方正仿宋_GBK" w:cs="方正仿宋_GBK"/>
          <w:sz w:val="32"/>
          <w:szCs w:val="32"/>
        </w:rPr>
        <w:t>。</w:t>
      </w:r>
    </w:p>
    <w:p>
      <w:pPr>
        <w:pStyle w:val="4"/>
        <w:adjustRightInd w:val="0"/>
        <w:snapToGrid w:val="0"/>
        <w:spacing w:line="576" w:lineRule="exact"/>
        <w:ind w:firstLine="627" w:firstLineChars="196"/>
        <w:rPr>
          <w:rStyle w:val="32"/>
          <w:rFonts w:hint="eastAsia" w:ascii="黑体" w:hAnsi="黑体" w:eastAsia="黑体"/>
          <w:b/>
          <w:bCs w:val="0"/>
        </w:rPr>
      </w:pPr>
      <w:bookmarkStart w:id="59" w:name="_Toc11960"/>
      <w:bookmarkStart w:id="60" w:name="_Toc15396609"/>
      <w:bookmarkStart w:id="61" w:name="_Toc15377215"/>
      <w:r>
        <w:rPr>
          <w:rFonts w:hint="eastAsia" w:ascii="黑体" w:hAnsi="黑体" w:eastAsia="黑体"/>
          <w:b w:val="0"/>
        </w:rPr>
        <w:t>七、</w:t>
      </w:r>
      <w:r>
        <w:rPr>
          <w:rStyle w:val="32"/>
          <w:rFonts w:hint="eastAsia" w:ascii="黑体" w:hAnsi="黑体" w:eastAsia="黑体"/>
          <w:b w:val="0"/>
          <w:bCs w:val="0"/>
        </w:rPr>
        <w:t>财政拨款“三公”经费支出决算情况说明</w:t>
      </w:r>
      <w:bookmarkEnd w:id="59"/>
      <w:bookmarkEnd w:id="60"/>
      <w:bookmarkEnd w:id="61"/>
    </w:p>
    <w:p>
      <w:pPr>
        <w:pStyle w:val="5"/>
        <w:ind w:firstLine="642" w:firstLineChars="200"/>
        <w:rPr>
          <w:rFonts w:ascii="楷体_GB2312" w:eastAsia="楷体_GB2312"/>
        </w:rPr>
      </w:pPr>
      <w:bookmarkStart w:id="62" w:name="_Toc22904"/>
      <w:bookmarkStart w:id="63" w:name="_Toc15377216"/>
      <w:r>
        <w:rPr>
          <w:rFonts w:hint="eastAsia" w:ascii="楷体_GB2312" w:eastAsia="楷体_GB2312"/>
        </w:rPr>
        <w:t>（一）“三公”经费财政拨款支出决算总体情况说明</w:t>
      </w:r>
      <w:bookmarkEnd w:id="62"/>
      <w:bookmarkEnd w:id="63"/>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2024年“三公”经费财政拨款支出决算为6.0</w:t>
      </w:r>
      <w:r>
        <w:rPr>
          <w:rFonts w:hint="eastAsia" w:eastAsia="方正仿宋_GBK" w:cs="Times New Roman"/>
          <w:sz w:val="32"/>
          <w:szCs w:val="32"/>
          <w:lang w:val="en-US" w:eastAsia="zh-CN"/>
        </w:rPr>
        <w:t>78</w:t>
      </w:r>
      <w:r>
        <w:rPr>
          <w:rFonts w:hint="eastAsia" w:ascii="Times New Roman" w:hAnsi="Times New Roman" w:eastAsia="方正仿宋_GBK" w:cs="Times New Roman"/>
          <w:sz w:val="32"/>
          <w:szCs w:val="32"/>
          <w:lang w:val="en-US" w:eastAsia="zh-CN"/>
        </w:rPr>
        <w:t>万元，完成预算100%，比上年减少0.4</w:t>
      </w:r>
      <w:r>
        <w:rPr>
          <w:rFonts w:hint="eastAsia" w:eastAsia="方正仿宋_GBK" w:cs="Times New Roman"/>
          <w:sz w:val="32"/>
          <w:szCs w:val="32"/>
          <w:lang w:val="en-US" w:eastAsia="zh-CN"/>
        </w:rPr>
        <w:t>57</w:t>
      </w:r>
      <w:r>
        <w:rPr>
          <w:rFonts w:hint="eastAsia" w:ascii="Times New Roman" w:hAnsi="Times New Roman" w:eastAsia="方正仿宋_GBK" w:cs="Times New Roman"/>
          <w:sz w:val="32"/>
          <w:szCs w:val="32"/>
          <w:lang w:val="en-US" w:eastAsia="zh-CN"/>
        </w:rPr>
        <w:t>万元，降低6.99%，主要是因为本年度公务接待减少。</w:t>
      </w:r>
    </w:p>
    <w:p>
      <w:pPr>
        <w:pStyle w:val="5"/>
        <w:ind w:firstLine="642" w:firstLineChars="200"/>
        <w:rPr>
          <w:rFonts w:ascii="楷体_GB2312" w:eastAsia="楷体_GB2312"/>
        </w:rPr>
      </w:pPr>
      <w:bookmarkStart w:id="64" w:name="_Toc15377217"/>
      <w:bookmarkStart w:id="65" w:name="_Toc30287"/>
      <w:r>
        <w:rPr>
          <w:rFonts w:hint="eastAsia" w:ascii="楷体_GB2312" w:eastAsia="楷体_GB2312"/>
        </w:rPr>
        <w:t>（二）“三公”经费财政拨款支出决算具体情况说明</w:t>
      </w:r>
      <w:bookmarkEnd w:id="64"/>
      <w:bookmarkEnd w:id="65"/>
    </w:p>
    <w:p>
      <w:pPr>
        <w:adjustRightInd w:val="0"/>
        <w:snapToGrid w:val="0"/>
        <w:spacing w:line="576" w:lineRule="exact"/>
        <w:ind w:firstLine="640"/>
        <w:rPr>
          <w:rFonts w:hint="eastAsia" w:ascii="仿宋" w:hAnsi="仿宋" w:eastAsia="仿宋"/>
          <w:sz w:val="32"/>
          <w:szCs w:val="32"/>
        </w:rPr>
      </w:pPr>
      <w:r>
        <w:rPr>
          <w:rFonts w:hint="eastAsia" w:ascii="Times New Roman" w:hAnsi="Times New Roman" w:eastAsia="方正仿宋_GBK" w:cs="Times New Roman"/>
          <w:sz w:val="32"/>
          <w:szCs w:val="32"/>
          <w:lang w:val="en-US" w:eastAsia="zh-CN"/>
        </w:rPr>
        <w:t>2024年“三公”经费财政拨款支出决算中，因公出国（境）费支出决算0万元，占0%；公务用车购置及运行维护费支出决算5.36</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万元，占88.3%；公务接待费支出决算0.71</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万元，11.7%。具体情况如下：</w:t>
      </w:r>
    </w:p>
    <w:p>
      <w:pPr>
        <w:pStyle w:val="7"/>
        <w:adjustRightInd w:val="0"/>
        <w:snapToGrid w:val="0"/>
        <w:spacing w:before="93" w:line="576" w:lineRule="exact"/>
        <w:rPr>
          <w:rFonts w:hint="eastAsia"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76672" behindDoc="1" locked="0" layoutInCell="1" allowOverlap="1">
            <wp:simplePos x="0" y="0"/>
            <wp:positionH relativeFrom="column">
              <wp:posOffset>133350</wp:posOffset>
            </wp:positionH>
            <wp:positionV relativeFrom="paragraph">
              <wp:posOffset>38100</wp:posOffset>
            </wp:positionV>
            <wp:extent cx="4886325" cy="1724025"/>
            <wp:effectExtent l="0" t="0" r="0" b="0"/>
            <wp:wrapNone/>
            <wp:docPr id="7"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7"/>
        <w:adjustRightInd w:val="0"/>
        <w:snapToGrid w:val="0"/>
        <w:spacing w:before="93" w:line="576" w:lineRule="exact"/>
        <w:jc w:val="center"/>
        <w:rPr>
          <w:rFonts w:hint="eastAsia" w:ascii="仿宋" w:hAnsi="仿宋" w:eastAsia="仿宋"/>
          <w:sz w:val="32"/>
          <w:szCs w:val="32"/>
        </w:rPr>
      </w:pPr>
    </w:p>
    <w:p>
      <w:pPr>
        <w:pStyle w:val="7"/>
        <w:adjustRightInd w:val="0"/>
        <w:snapToGrid w:val="0"/>
        <w:spacing w:before="93" w:line="576" w:lineRule="exact"/>
        <w:rPr>
          <w:rFonts w:hint="eastAsia" w:ascii="仿宋" w:hAnsi="仿宋" w:eastAsia="仿宋"/>
          <w:sz w:val="32"/>
          <w:szCs w:val="32"/>
        </w:rPr>
      </w:pPr>
    </w:p>
    <w:p>
      <w:pPr>
        <w:pStyle w:val="7"/>
        <w:adjustRightInd w:val="0"/>
        <w:snapToGrid w:val="0"/>
        <w:spacing w:before="93" w:line="576" w:lineRule="exact"/>
        <w:rPr>
          <w:rFonts w:hint="eastAsia" w:ascii="仿宋" w:hAnsi="仿宋" w:eastAsia="仿宋"/>
          <w:sz w:val="32"/>
          <w:szCs w:val="32"/>
        </w:rPr>
      </w:pPr>
    </w:p>
    <w:p>
      <w:pPr>
        <w:adjustRightInd w:val="0"/>
        <w:snapToGrid w:val="0"/>
        <w:spacing w:line="576"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1.因公出国（境）经费支出0万元，完成预算0%。全年安排因公出国（境）团组0次，出国（境）0人。因公出国（境）支出决算比2023年持平。</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2.公务用车购置及运行维护费支出5.36</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万元,完成预算100%。公务用车购置及运行维护费支出决算比2023年减少0.0002万元，与上一年持平。</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其中：公务用车购置支出0万元。全年按规定更新购置公务用车0辆。截至2024年12月底，单位共有公务用车2辆，其中：轿车0辆、越野车2辆。</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公务用车运行维护费支出5.36</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万元。主要用于组织开展民族团结进步创建活动、开展民族团结宣传教育、维护社会稳定、森林防火督查、指导协调宗教事务，调研民族乡（镇）等所需的公务用车燃料费、维修费、过路过桥费、保险费等支出。</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3.公务接待费支出0.71</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万元，完成预算100%。公务接待费支出决算比2023年减少</w:t>
      </w:r>
      <w:r>
        <w:rPr>
          <w:rFonts w:hint="eastAsia" w:ascii="Times New Roman" w:hAnsi="Times New Roman" w:eastAsia="仿宋" w:cs="Times New Roman"/>
          <w:sz w:val="32"/>
          <w:szCs w:val="32"/>
          <w:lang w:val="en-US" w:eastAsia="zh-CN"/>
        </w:rPr>
        <w:t>0.4</w:t>
      </w:r>
      <w:r>
        <w:rPr>
          <w:rFonts w:hint="eastAsia" w:eastAsia="仿宋" w:cs="Times New Roman"/>
          <w:sz w:val="32"/>
          <w:szCs w:val="32"/>
          <w:lang w:val="en-US" w:eastAsia="zh-CN"/>
        </w:rPr>
        <w:t>56</w:t>
      </w:r>
      <w:r>
        <w:rPr>
          <w:rFonts w:hint="eastAsia" w:ascii="Times New Roman" w:hAnsi="Times New Roman" w:eastAsia="仿宋" w:cs="Times New Roman"/>
          <w:sz w:val="32"/>
          <w:szCs w:val="32"/>
          <w:lang w:val="en-US" w:eastAsia="zh-CN"/>
        </w:rPr>
        <w:t>万元，降低39.32%</w:t>
      </w:r>
      <w:r>
        <w:rPr>
          <w:rFonts w:hint="eastAsia" w:ascii="Times New Roman" w:hAnsi="Times New Roman" w:eastAsia="方正仿宋_GBK" w:cs="Times New Roman"/>
          <w:sz w:val="32"/>
          <w:szCs w:val="32"/>
          <w:lang w:val="en-US" w:eastAsia="zh-CN"/>
        </w:rPr>
        <w:t>。</w:t>
      </w:r>
      <w:r>
        <w:rPr>
          <w:rFonts w:hint="eastAsia" w:ascii="Times New Roman" w:hAnsi="Times New Roman" w:eastAsia="仿宋" w:cs="Times New Roman"/>
          <w:sz w:val="32"/>
          <w:szCs w:val="32"/>
          <w:lang w:val="en-US" w:eastAsia="zh-CN"/>
        </w:rPr>
        <w:t>按照过紧日子文件精神减少公务接待。2024年接待国内公务活动6批次，接待人员46人次</w:t>
      </w:r>
      <w:r>
        <w:rPr>
          <w:rFonts w:hint="eastAsia" w:ascii="Times New Roman" w:hAnsi="Times New Roman" w:eastAsia="方正仿宋_GBK" w:cs="Times New Roman"/>
          <w:sz w:val="32"/>
          <w:szCs w:val="32"/>
          <w:lang w:val="en-US" w:eastAsia="zh-CN"/>
        </w:rPr>
        <w:t>。其中：</w:t>
      </w:r>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国内公务接待支出0.71</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万元，主要用于执行公务、开展全国民族团结进步模范推荐评选工作接待考察组用餐费等。接待国内公务活动6批次，接待人员46人次。</w:t>
      </w:r>
    </w:p>
    <w:p>
      <w:pPr>
        <w:adjustRightInd w:val="0"/>
        <w:snapToGrid w:val="0"/>
        <w:spacing w:line="576" w:lineRule="exact"/>
        <w:ind w:firstLine="640"/>
        <w:rPr>
          <w:rFonts w:ascii="仿宋_GB2312" w:eastAsia="仿宋_GB2312"/>
          <w:sz w:val="32"/>
          <w:szCs w:val="32"/>
        </w:rPr>
      </w:pPr>
      <w:r>
        <w:rPr>
          <w:rFonts w:hint="eastAsia" w:ascii="Times New Roman" w:hAnsi="Times New Roman" w:eastAsia="方正仿宋_GBK" w:cs="Times New Roman"/>
          <w:sz w:val="32"/>
          <w:szCs w:val="32"/>
          <w:lang w:val="en-US" w:eastAsia="zh-CN"/>
        </w:rPr>
        <w:t>外事接待支出0万元，外事接待0批次，0人。</w:t>
      </w:r>
    </w:p>
    <w:p>
      <w:pPr>
        <w:pStyle w:val="4"/>
        <w:adjustRightInd w:val="0"/>
        <w:snapToGrid w:val="0"/>
        <w:spacing w:line="576" w:lineRule="exact"/>
        <w:ind w:firstLine="627" w:firstLineChars="196"/>
        <w:rPr>
          <w:rStyle w:val="32"/>
          <w:rFonts w:hint="eastAsia" w:ascii="黑体" w:hAnsi="黑体" w:eastAsia="黑体"/>
          <w:b w:val="0"/>
          <w:bCs w:val="0"/>
        </w:rPr>
      </w:pPr>
      <w:bookmarkStart w:id="66" w:name="_Toc8314"/>
      <w:bookmarkStart w:id="67" w:name="_Toc15396610"/>
      <w:bookmarkStart w:id="68" w:name="_Toc15377218"/>
      <w:r>
        <w:rPr>
          <w:rFonts w:hint="eastAsia" w:ascii="黑体" w:hAnsi="黑体" w:eastAsia="黑体"/>
          <w:b w:val="0"/>
        </w:rPr>
        <w:t>八、</w:t>
      </w:r>
      <w:r>
        <w:rPr>
          <w:rStyle w:val="32"/>
          <w:rFonts w:hint="eastAsia" w:ascii="黑体" w:hAnsi="黑体" w:eastAsia="黑体"/>
          <w:b w:val="0"/>
          <w:bCs w:val="0"/>
        </w:rPr>
        <w:t>政府性基金预算支出决算情况说明</w:t>
      </w:r>
      <w:bookmarkEnd w:id="66"/>
      <w:bookmarkEnd w:id="67"/>
      <w:bookmarkEnd w:id="68"/>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2024年政府性基金预算财政拨款支出0万元，占本年支出合计的0%。与2023年度相比，政府性基金预算财政拨款支出减少9.47万元，下降100%，主要原因是今年的项目经费未在政府性基金中安排。</w:t>
      </w:r>
    </w:p>
    <w:p>
      <w:pPr>
        <w:pStyle w:val="4"/>
        <w:adjustRightInd w:val="0"/>
        <w:snapToGrid w:val="0"/>
        <w:spacing w:line="576" w:lineRule="exact"/>
        <w:ind w:firstLine="627" w:firstLineChars="196"/>
        <w:rPr>
          <w:rStyle w:val="32"/>
          <w:rFonts w:hint="eastAsia" w:ascii="黑体" w:hAnsi="黑体" w:eastAsia="黑体"/>
          <w:b w:val="0"/>
          <w:bCs w:val="0"/>
        </w:rPr>
      </w:pPr>
      <w:bookmarkStart w:id="69" w:name="_Toc15396611"/>
      <w:bookmarkStart w:id="70" w:name="_Toc22551"/>
      <w:bookmarkStart w:id="71" w:name="_Toc15377219"/>
      <w:r>
        <w:rPr>
          <w:rStyle w:val="32"/>
          <w:rFonts w:hint="eastAsia" w:ascii="黑体" w:hAnsi="黑体" w:eastAsia="黑体"/>
          <w:b w:val="0"/>
          <w:bCs w:val="0"/>
        </w:rPr>
        <w:t>九、国有资本经营预算支出决算情况说明</w:t>
      </w:r>
      <w:bookmarkEnd w:id="69"/>
      <w:bookmarkEnd w:id="70"/>
      <w:bookmarkEnd w:id="71"/>
    </w:p>
    <w:p>
      <w:pPr>
        <w:adjustRightInd w:val="0"/>
        <w:snapToGrid w:val="0"/>
        <w:spacing w:line="576" w:lineRule="exact"/>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2024年国有资本经营预算财政拨款支出0万元，与2023年持平。</w:t>
      </w:r>
    </w:p>
    <w:p>
      <w:pPr>
        <w:pStyle w:val="4"/>
        <w:adjustRightInd w:val="0"/>
        <w:snapToGrid w:val="0"/>
        <w:spacing w:line="576" w:lineRule="exact"/>
        <w:ind w:firstLine="640" w:firstLineChars="200"/>
        <w:rPr>
          <w:rStyle w:val="32"/>
          <w:rFonts w:hint="eastAsia" w:ascii="黑体" w:hAnsi="黑体" w:eastAsia="黑体"/>
          <w:b/>
          <w:bCs w:val="0"/>
        </w:rPr>
      </w:pPr>
      <w:bookmarkStart w:id="72" w:name="_Toc15377221"/>
      <w:bookmarkStart w:id="73" w:name="_Toc9811"/>
      <w:bookmarkStart w:id="74" w:name="_Toc15396612"/>
      <w:r>
        <w:rPr>
          <w:rStyle w:val="32"/>
          <w:rFonts w:hint="eastAsia" w:ascii="黑体" w:hAnsi="黑体" w:eastAsia="黑体"/>
          <w:b w:val="0"/>
          <w:bCs w:val="0"/>
        </w:rPr>
        <w:t>十、其他重要事项的情况说明</w:t>
      </w:r>
      <w:bookmarkEnd w:id="72"/>
      <w:bookmarkEnd w:id="73"/>
      <w:bookmarkEnd w:id="74"/>
    </w:p>
    <w:p>
      <w:pPr>
        <w:pStyle w:val="5"/>
        <w:ind w:firstLine="642" w:firstLineChars="200"/>
        <w:rPr>
          <w:rFonts w:ascii="楷体_GB2312" w:eastAsia="楷体_GB2312"/>
        </w:rPr>
      </w:pPr>
      <w:bookmarkStart w:id="75" w:name="_Toc22039"/>
      <w:bookmarkStart w:id="76" w:name="_Toc15377222"/>
      <w:r>
        <w:rPr>
          <w:rFonts w:hint="eastAsia" w:ascii="楷体_GB2312" w:eastAsia="楷体_GB2312"/>
        </w:rPr>
        <w:t>（一）机关运行经费支出情况</w:t>
      </w:r>
      <w:bookmarkEnd w:id="75"/>
      <w:bookmarkEnd w:id="76"/>
    </w:p>
    <w:p>
      <w:pPr>
        <w:adjustRightInd w:val="0"/>
        <w:snapToGrid w:val="0"/>
        <w:spacing w:line="576"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2024年，攀枝花市民族宗教事务委员会机关运行经费支出57.34万元，比2023年减少1.72万元，降低2.91%。主要原因是主要是2023年底做2024年预算时，单位行政在职人员较上一年度较少，导致公务交通补贴等公用经费预算减少。</w:t>
      </w:r>
    </w:p>
    <w:p>
      <w:pPr>
        <w:pStyle w:val="5"/>
        <w:ind w:firstLine="642" w:firstLineChars="200"/>
        <w:rPr>
          <w:rFonts w:ascii="楷体_GB2312" w:eastAsia="楷体_GB2312"/>
        </w:rPr>
      </w:pPr>
      <w:bookmarkStart w:id="77" w:name="_Toc19026"/>
      <w:bookmarkStart w:id="78" w:name="_Toc15377223"/>
      <w:r>
        <w:rPr>
          <w:rFonts w:hint="eastAsia" w:ascii="楷体_GB2312" w:eastAsia="楷体_GB2312"/>
        </w:rPr>
        <w:t>（二）政府采购支出情况</w:t>
      </w:r>
      <w:bookmarkEnd w:id="77"/>
      <w:bookmarkEnd w:id="78"/>
    </w:p>
    <w:p>
      <w:pPr>
        <w:adjustRightInd w:val="0"/>
        <w:snapToGrid w:val="0"/>
        <w:spacing w:line="576" w:lineRule="exact"/>
        <w:ind w:firstLine="640" w:firstLineChars="200"/>
        <w:rPr>
          <w:rFonts w:hint="eastAsia" w:ascii="方正仿宋_GBK" w:hAnsi="方正仿宋_GBK" w:eastAsia="方正仿宋_GBK" w:cs="方正仿宋_GBK"/>
          <w:sz w:val="32"/>
          <w:szCs w:val="32"/>
          <w:lang w:val="en-US"/>
        </w:rPr>
      </w:pPr>
      <w:r>
        <w:rPr>
          <w:rFonts w:hint="eastAsia" w:ascii="Times New Roman" w:hAnsi="Times New Roman" w:eastAsia="方正仿宋_GBK" w:cs="Times New Roman"/>
          <w:sz w:val="32"/>
          <w:szCs w:val="32"/>
          <w:lang w:val="en-US" w:eastAsia="zh-CN"/>
        </w:rPr>
        <w:t>2024年，攀枝花市民族宗教事务委员会政府采购支出总额0.7</w:t>
      </w:r>
      <w:r>
        <w:rPr>
          <w:rFonts w:hint="eastAsia" w:eastAsia="方正仿宋_GBK" w:cs="Times New Roman"/>
          <w:sz w:val="32"/>
          <w:szCs w:val="32"/>
          <w:lang w:val="en-US" w:eastAsia="zh-CN"/>
        </w:rPr>
        <w:t>万</w:t>
      </w:r>
      <w:r>
        <w:rPr>
          <w:rFonts w:hint="eastAsia" w:ascii="Times New Roman" w:hAnsi="Times New Roman" w:eastAsia="方正仿宋_GBK" w:cs="Times New Roman"/>
          <w:sz w:val="32"/>
          <w:szCs w:val="32"/>
          <w:lang w:val="en-US" w:eastAsia="zh-CN"/>
        </w:rPr>
        <w:t>元，其中：政府采购货物支出0万元、政府采购工程支出0万元、政府采购服务支出0.7万元。</w:t>
      </w:r>
      <w:r>
        <w:rPr>
          <w:rFonts w:hint="eastAsia" w:ascii="仿宋_GB2312" w:hAnsi="仿宋_GB2312" w:eastAsia="仿宋_GB2312" w:cs="仿宋_GB2312"/>
          <w:color w:val="auto"/>
          <w:kern w:val="2"/>
          <w:sz w:val="32"/>
          <w:szCs w:val="32"/>
          <w:highlight w:val="none"/>
          <w:lang w:val="en-US" w:eastAsia="zh-CN" w:bidi="ar-SA"/>
        </w:rPr>
        <w:t>主要用于公务用车的燃油、保养维护费。</w:t>
      </w:r>
    </w:p>
    <w:p>
      <w:pPr>
        <w:pStyle w:val="5"/>
        <w:ind w:firstLine="642" w:firstLineChars="200"/>
        <w:rPr>
          <w:rFonts w:ascii="楷体_GB2312" w:eastAsia="楷体_GB2312"/>
        </w:rPr>
      </w:pPr>
      <w:bookmarkStart w:id="79" w:name="_Toc15377224"/>
      <w:bookmarkStart w:id="80" w:name="_Toc10809"/>
      <w:r>
        <w:rPr>
          <w:rFonts w:hint="eastAsia" w:ascii="楷体_GB2312" w:eastAsia="楷体_GB2312"/>
        </w:rPr>
        <w:t>（三）国有资产占有使用情况</w:t>
      </w:r>
      <w:bookmarkEnd w:id="79"/>
      <w:bookmarkEnd w:id="80"/>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截至2024年12月31日，攀枝花市民族宗教事务委员会共有车辆2辆，其中：主要负责人用车0辆、机要通信用车0辆、应急保障用车0辆、其他用车2辆，其他用车主要是用于一般公务活动。单价100万元（含）以上设备（不含车辆）0台（套）。</w:t>
      </w:r>
    </w:p>
    <w:p>
      <w:pPr>
        <w:pStyle w:val="5"/>
        <w:ind w:firstLine="642" w:firstLineChars="200"/>
        <w:rPr>
          <w:rFonts w:ascii="楷体_GB2312" w:eastAsia="楷体_GB2312"/>
        </w:rPr>
      </w:pPr>
      <w:bookmarkStart w:id="81" w:name="_Toc16174"/>
      <w:r>
        <w:rPr>
          <w:rFonts w:hint="eastAsia" w:ascii="楷体_GB2312" w:eastAsia="楷体_GB2312"/>
        </w:rPr>
        <w:t>（四）预算绩效管理情况</w:t>
      </w:r>
      <w:bookmarkEnd w:id="81"/>
    </w:p>
    <w:p>
      <w:pPr>
        <w:adjustRightInd w:val="0"/>
        <w:snapToGrid w:val="0"/>
        <w:spacing w:line="576" w:lineRule="exact"/>
        <w:ind w:firstLine="640" w:firstLineChars="200"/>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按照预算绩效管理要求，我委</w:t>
      </w:r>
      <w:r>
        <w:rPr>
          <w:rFonts w:hint="eastAsia" w:ascii="Times New Roman" w:hAnsi="Times New Roman" w:eastAsia="方正仿宋_GBK" w:cs="Times New Roman"/>
          <w:sz w:val="32"/>
          <w:szCs w:val="32"/>
          <w:lang w:val="en-US" w:eastAsia="zh-CN"/>
        </w:rPr>
        <w:t>对2024年预算项目支出开展了绩效目标管理。年初预算3个项目50万元（原批复为4个项目，年中调整追减1个项目指标至县区），年中追加项目10个，执行数175.39万元，均开展了绩效目标管理和年中绩效评价，13个项目预算绩效为272.3万元，但今年资金支付有部分待支付和待完成项目，故最后执行完成绩效与预算绩效之间存在差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1"/>
        </w:numPr>
        <w:adjustRightInd w:val="0"/>
        <w:snapToGrid w:val="0"/>
        <w:spacing w:line="576" w:lineRule="exact"/>
        <w:ind w:firstLine="660" w:firstLineChars="150"/>
        <w:jc w:val="center"/>
        <w:outlineLvl w:val="0"/>
        <w:rPr>
          <w:rStyle w:val="31"/>
          <w:rFonts w:hint="eastAsia" w:ascii="黑体" w:hAnsi="黑体" w:eastAsia="黑体"/>
          <w:b w:val="0"/>
        </w:rPr>
      </w:pPr>
      <w:bookmarkStart w:id="82" w:name="_Toc15377225"/>
      <w:bookmarkStart w:id="83" w:name="_Toc15396613"/>
      <w:bookmarkStart w:id="84" w:name="_Toc25349"/>
      <w:r>
        <w:rPr>
          <w:rFonts w:hint="eastAsia" w:ascii="黑体" w:hAnsi="黑体" w:eastAsia="黑体"/>
          <w:sz w:val="44"/>
          <w:szCs w:val="44"/>
        </w:rPr>
        <w:t>名</w:t>
      </w:r>
      <w:r>
        <w:rPr>
          <w:rStyle w:val="31"/>
          <w:rFonts w:hint="eastAsia" w:ascii="黑体" w:hAnsi="黑体" w:eastAsia="黑体"/>
          <w:b w:val="0"/>
        </w:rPr>
        <w:t>词解释</w:t>
      </w:r>
      <w:bookmarkEnd w:id="82"/>
      <w:bookmarkEnd w:id="83"/>
      <w:bookmarkEnd w:id="84"/>
    </w:p>
    <w:p>
      <w:pPr>
        <w:adjustRightInd w:val="0"/>
        <w:snapToGrid w:val="0"/>
        <w:spacing w:line="576" w:lineRule="exact"/>
        <w:jc w:val="left"/>
        <w:rPr>
          <w:rFonts w:ascii="宋体"/>
          <w:b/>
          <w:sz w:val="44"/>
          <w:szCs w:val="44"/>
        </w:rPr>
      </w:pPr>
    </w:p>
    <w:p>
      <w:pPr>
        <w:pStyle w:val="2"/>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1.财政拨款收入：指单位从同级财政部门取得的财政预算资金。</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2.一般公共服务（类）民族事务（款）行政运行（项）：指行政单位的基本支出。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3.一般公共服务（类）民族事务（款）事业运行（项）：指事业单位的基本支出，不包括行政单位服务中心、医务室等附属事业单位。</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4.一般公共服务（类）民族事务（款）其他民族事务支出（项）：指其他用于民族事务方面的支出。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5.一般公共服务（类）组织事务（款）其他组织事务支出（项）：指其他用于中国共产党组织部门的事务支出。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5.社会保障和就业（类）行政事业单位养老支出（款）行政单位离退休（项）：指行政单位(包括实行公务员管理的事业单位)开支的离退休经费。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6.社会保障和就业（类）行政事业单位养老支出（款）事业单位离退休（项）：指事业单位开支的离退休经费。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7.社会保障和就业（类）行政事业单位养老支出（款）机关事业单位基本养老保险缴费支出（项）:指机关事业单位实施养老保险制度由单位缴纳的基本养老保险费支出。  </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9.社会保障和就业支出（类）行政事业单位养老支出（款）机关事业单位职业年金缴费支出（项）：指机关事业单位实施养老保险制度由单位实际缴纳的职业年金支出。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10.社会保障和就业支出（类）抚恤（款）死亡抚恤（项）：指按规定用于烈士和牺牲、病故人员家属的一次性和定期抚恤金、丧葬补助费以及烈士褒扬金。</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11.卫生健康支出（类）行政事业单位医疗（款）行政单位医疗（项）：指行政单位基本医疗保险缴费经费，未参加医疗保险的行政单位的公费医疗经费，按国家规定享受离休人员、红军老战士待遇人员的医疗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12.卫生健康支出（类）行政事业单位医疗（款）事业单位医疗（项）：指事业单位基本医疗保险缴费经费，未参加医疗保险的事业单位的公费医疗经费，按国家规定享受离休人员待遇的医疗经费。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13.卫生健康支出（类）行政事业单位医疗（款）公务员医疗补助（项）：指公务员医疗补助经费。</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14.卫生健康支出（类）行政事业单位医疗（款）其他行政事业单位医疗支出（项）：指其他用于行政事业单位医疗方面的支出。  </w:t>
      </w:r>
    </w:p>
    <w:p>
      <w:pPr>
        <w:pStyle w:val="7"/>
        <w:adjustRightInd w:val="0"/>
        <w:snapToGrid w:val="0"/>
        <w:spacing w:before="93" w:line="576" w:lineRule="exact"/>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    15.农林水支出（类）农业农村（款）其他农业农村支出（项）：指其他用于农业农村方面的支出。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16.农林水支出（类）其他农林水支出（款）其他农林水支出（项）：指除化解债务支出以外其他用于农林水方面的支出。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17.住房保障支出（类）住房改革支出（款）住房公积金（项）：指行政事业单位按人力资源和社会保障部、财政部规定的基本工资和津贴补贴以及规定比例为职工缴纳的住房公积金。</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18.基本支出：指为保障机构正常运转、完成日常工作任务而发生的人员支出和公用支出。</w:t>
      </w:r>
    </w:p>
    <w:p>
      <w:pPr>
        <w:adjustRightInd w:val="0"/>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19.项目支出：指在基本支出之外为完成特定行政任务和事业发展目标所发生的支出。 </w:t>
      </w:r>
    </w:p>
    <w:p>
      <w:pPr>
        <w:pStyle w:val="2"/>
        <w:snapToGrid w:val="0"/>
        <w:spacing w:line="576"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20</w:t>
      </w:r>
      <w:r>
        <w:rPr>
          <w:rFonts w:hint="eastAsia" w:ascii="Times New Roman" w:hAnsi="Times New Roman" w:eastAsia="仿宋" w:cs="Times New Roman"/>
          <w:kern w:val="2"/>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576" w:lineRule="exact"/>
        <w:ind w:firstLine="640" w:firstLineChars="200"/>
        <w:rPr>
          <w:rFonts w:ascii="仿宋_GB2312" w:eastAsia="仿宋_GB2312"/>
          <w:sz w:val="32"/>
          <w:szCs w:val="32"/>
        </w:rPr>
      </w:pPr>
      <w:r>
        <w:rPr>
          <w:rFonts w:hint="eastAsia" w:ascii="Times New Roman" w:hAnsi="Times New Roman" w:eastAsia="仿宋" w:cs="Times New Roman"/>
          <w:kern w:val="2"/>
          <w:sz w:val="32"/>
          <w:szCs w:val="32"/>
          <w:lang w:val="en-US" w:eastAsia="zh-CN" w:bidi="ar-SA"/>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rPr>
          <w:rFonts w:ascii="宋体"/>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85" w:name="_Toc15377226"/>
    </w:p>
    <w:p>
      <w:pPr>
        <w:pStyle w:val="3"/>
        <w:jc w:val="center"/>
        <w:rPr>
          <w:rStyle w:val="31"/>
          <w:rFonts w:hint="eastAsia" w:ascii="黑体" w:hAnsi="黑体" w:eastAsia="黑体"/>
          <w:b w:val="0"/>
          <w:bCs w:val="0"/>
        </w:rPr>
      </w:pPr>
      <w:bookmarkStart w:id="86" w:name="_Toc15396614"/>
      <w:bookmarkStart w:id="87" w:name="_Toc3405"/>
      <w:r>
        <w:rPr>
          <w:rFonts w:hint="eastAsia" w:ascii="黑体" w:hAnsi="黑体" w:eastAsia="黑体"/>
        </w:rPr>
        <w:t>第</w:t>
      </w:r>
      <w:r>
        <w:rPr>
          <w:rStyle w:val="31"/>
          <w:rFonts w:hint="eastAsia" w:ascii="黑体" w:hAnsi="黑体" w:eastAsia="黑体"/>
          <w:b w:val="0"/>
          <w:bCs w:val="0"/>
        </w:rPr>
        <w:t>四部分 附件</w:t>
      </w:r>
      <w:bookmarkEnd w:id="86"/>
      <w:bookmarkEnd w:id="87"/>
    </w:p>
    <w:p>
      <w:pPr>
        <w:pStyle w:val="15"/>
        <w:keepNext w:val="0"/>
        <w:keepLines w:val="0"/>
        <w:pageBreakBefore w:val="0"/>
        <w:widowControl w:val="0"/>
        <w:kinsoku/>
        <w:wordWrap/>
        <w:overflowPunct/>
        <w:topLinePunct w:val="0"/>
        <w:autoSpaceDE/>
        <w:autoSpaceDN/>
        <w:bidi w:val="0"/>
        <w:adjustRightInd/>
        <w:snapToGrid w:val="0"/>
        <w:ind w:firstLine="640" w:firstLineChars="200"/>
        <w:textAlignment w:val="auto"/>
        <w:outlineLvl w:val="9"/>
        <w:rPr>
          <w:rFonts w:hint="eastAsia" w:eastAsia="宋体"/>
          <w:lang w:val="en-US" w:eastAsia="zh-CN"/>
        </w:rPr>
      </w:pPr>
      <w:r>
        <w:rPr>
          <w:rFonts w:hint="eastAsia" w:eastAsia="仿宋" w:cs="Times New Roman"/>
          <w:sz w:val="32"/>
          <w:szCs w:val="32"/>
          <w:lang w:val="en-US" w:eastAsia="zh-CN"/>
        </w:rPr>
        <w:t>部门预算项目支出绩效自评表（2024年度）见附件3。</w:t>
      </w:r>
    </w:p>
    <w:p>
      <w:pPr>
        <w:pStyle w:val="9"/>
      </w:pPr>
    </w:p>
    <w:p>
      <w:pPr>
        <w:pStyle w:val="9"/>
      </w:pPr>
    </w:p>
    <w:p>
      <w:pPr>
        <w:widowControl/>
        <w:adjustRightInd w:val="0"/>
        <w:snapToGrid w:val="0"/>
        <w:spacing w:line="576" w:lineRule="exact"/>
        <w:jc w:val="left"/>
        <w:rPr>
          <w:rStyle w:val="31"/>
          <w:rFonts w:hint="eastAsia" w:ascii="黑体" w:hAnsi="黑体" w:eastAsia="黑体"/>
          <w:b w:val="0"/>
        </w:rPr>
        <w:sectPr>
          <w:pgSz w:w="11906" w:h="16838"/>
          <w:pgMar w:top="1440" w:right="1800" w:bottom="1440" w:left="1800" w:header="851" w:footer="992" w:gutter="0"/>
          <w:cols w:space="425" w:num="1"/>
          <w:titlePg/>
          <w:docGrid w:type="lines" w:linePitch="312" w:charSpace="0"/>
        </w:sectPr>
      </w:pPr>
    </w:p>
    <w:p>
      <w:pPr>
        <w:pStyle w:val="3"/>
        <w:jc w:val="center"/>
        <w:rPr>
          <w:rFonts w:hint="eastAsia" w:ascii="黑体" w:hAnsi="黑体" w:eastAsia="黑体"/>
          <w:b w:val="0"/>
          <w:bCs w:val="0"/>
        </w:rPr>
      </w:pPr>
      <w:bookmarkStart w:id="88" w:name="_Toc15396618"/>
      <w:bookmarkStart w:id="89" w:name="_Toc21313"/>
      <w:r>
        <w:rPr>
          <w:rFonts w:hint="eastAsia" w:ascii="黑体" w:hAnsi="黑体" w:eastAsia="黑体"/>
          <w:b w:val="0"/>
          <w:bCs w:val="0"/>
        </w:rPr>
        <w:t>第</w:t>
      </w:r>
      <w:r>
        <w:rPr>
          <w:rStyle w:val="31"/>
          <w:rFonts w:hint="eastAsia" w:ascii="黑体" w:hAnsi="黑体" w:eastAsia="黑体"/>
          <w:b w:val="0"/>
          <w:bCs w:val="0"/>
        </w:rPr>
        <w:t>五部分 附表</w:t>
      </w:r>
      <w:bookmarkEnd w:id="85"/>
      <w:bookmarkEnd w:id="88"/>
      <w:bookmarkEnd w:id="89"/>
      <w:bookmarkStart w:id="90" w:name="_Toc15396619"/>
    </w:p>
    <w:p>
      <w:pPr>
        <w:pStyle w:val="4"/>
        <w:adjustRightInd w:val="0"/>
        <w:snapToGrid w:val="0"/>
        <w:spacing w:line="576" w:lineRule="exact"/>
        <w:rPr>
          <w:rFonts w:hint="eastAsia" w:ascii="仿宋" w:hAnsi="仿宋" w:eastAsia="仿宋"/>
        </w:rPr>
      </w:pPr>
      <w:bookmarkStart w:id="91" w:name="_Toc24687"/>
      <w:r>
        <w:rPr>
          <w:rFonts w:hint="eastAsia" w:ascii="仿宋" w:hAnsi="仿宋" w:eastAsia="仿宋"/>
          <w:b w:val="0"/>
        </w:rPr>
        <w:t>一、收</w:t>
      </w:r>
      <w:r>
        <w:rPr>
          <w:rStyle w:val="32"/>
          <w:rFonts w:hint="eastAsia" w:ascii="仿宋" w:hAnsi="仿宋" w:eastAsia="仿宋"/>
          <w:b w:val="0"/>
          <w:bCs w:val="0"/>
        </w:rPr>
        <w:t>入支出决算总表</w:t>
      </w:r>
      <w:bookmarkEnd w:id="90"/>
      <w:bookmarkEnd w:id="91"/>
    </w:p>
    <w:p>
      <w:pPr>
        <w:pStyle w:val="4"/>
        <w:adjustRightInd w:val="0"/>
        <w:snapToGrid w:val="0"/>
        <w:spacing w:line="576" w:lineRule="exact"/>
        <w:rPr>
          <w:rFonts w:hint="eastAsia" w:ascii="仿宋" w:hAnsi="仿宋" w:eastAsia="仿宋"/>
        </w:rPr>
      </w:pPr>
      <w:bookmarkStart w:id="92" w:name="_Toc15396620"/>
      <w:bookmarkStart w:id="93" w:name="_Toc17308"/>
      <w:r>
        <w:rPr>
          <w:rFonts w:hint="eastAsia" w:ascii="仿宋" w:hAnsi="仿宋" w:eastAsia="仿宋"/>
          <w:b w:val="0"/>
        </w:rPr>
        <w:t>二、收</w:t>
      </w:r>
      <w:r>
        <w:rPr>
          <w:rStyle w:val="32"/>
          <w:rFonts w:hint="eastAsia" w:ascii="仿宋" w:hAnsi="仿宋" w:eastAsia="仿宋"/>
          <w:b w:val="0"/>
          <w:bCs w:val="0"/>
        </w:rPr>
        <w:t>入决算表</w:t>
      </w:r>
      <w:bookmarkEnd w:id="92"/>
      <w:bookmarkEnd w:id="93"/>
    </w:p>
    <w:p>
      <w:pPr>
        <w:pStyle w:val="4"/>
        <w:adjustRightInd w:val="0"/>
        <w:snapToGrid w:val="0"/>
        <w:spacing w:line="576" w:lineRule="exact"/>
        <w:rPr>
          <w:rFonts w:hint="eastAsia" w:ascii="仿宋" w:hAnsi="仿宋" w:eastAsia="仿宋"/>
        </w:rPr>
      </w:pPr>
      <w:bookmarkStart w:id="94" w:name="_Toc3239"/>
      <w:bookmarkStart w:id="95" w:name="_Toc1539662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94"/>
      <w:bookmarkEnd w:id="95"/>
    </w:p>
    <w:p>
      <w:pPr>
        <w:pStyle w:val="4"/>
        <w:adjustRightInd w:val="0"/>
        <w:snapToGrid w:val="0"/>
        <w:spacing w:line="576" w:lineRule="exact"/>
        <w:rPr>
          <w:rFonts w:hint="eastAsia" w:ascii="仿宋" w:hAnsi="仿宋" w:eastAsia="仿宋"/>
          <w:b w:val="0"/>
        </w:rPr>
      </w:pPr>
      <w:bookmarkStart w:id="96" w:name="_Toc15396622"/>
      <w:bookmarkStart w:id="97" w:name="_Toc17790"/>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96"/>
      <w:bookmarkEnd w:id="97"/>
    </w:p>
    <w:p>
      <w:pPr>
        <w:pStyle w:val="4"/>
        <w:adjustRightInd w:val="0"/>
        <w:snapToGrid w:val="0"/>
        <w:spacing w:line="576" w:lineRule="exact"/>
        <w:rPr>
          <w:rStyle w:val="32"/>
          <w:rFonts w:hint="eastAsia" w:ascii="仿宋" w:hAnsi="仿宋" w:eastAsia="仿宋"/>
          <w:b w:val="0"/>
          <w:bCs w:val="0"/>
        </w:rPr>
      </w:pPr>
      <w:bookmarkStart w:id="98" w:name="_Toc32193"/>
      <w:bookmarkStart w:id="99"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98"/>
      <w:bookmarkEnd w:id="99"/>
      <w:bookmarkStart w:id="100" w:name="_Toc15396624"/>
    </w:p>
    <w:p>
      <w:pPr>
        <w:pStyle w:val="4"/>
        <w:adjustRightInd w:val="0"/>
        <w:snapToGrid w:val="0"/>
        <w:spacing w:line="576" w:lineRule="exact"/>
        <w:rPr>
          <w:rFonts w:hint="eastAsia" w:ascii="仿宋" w:hAnsi="仿宋" w:eastAsia="仿宋"/>
        </w:rPr>
      </w:pPr>
      <w:bookmarkStart w:id="101" w:name="_Toc4241"/>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100"/>
      <w:bookmarkEnd w:id="101"/>
    </w:p>
    <w:p>
      <w:pPr>
        <w:pStyle w:val="4"/>
        <w:adjustRightInd w:val="0"/>
        <w:snapToGrid w:val="0"/>
        <w:spacing w:line="576" w:lineRule="exact"/>
        <w:rPr>
          <w:rFonts w:hint="eastAsia" w:ascii="仿宋" w:hAnsi="仿宋" w:eastAsia="仿宋"/>
        </w:rPr>
      </w:pPr>
      <w:bookmarkStart w:id="102" w:name="_Toc14732"/>
      <w:bookmarkStart w:id="103" w:name="_Toc15396625"/>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102"/>
      <w:bookmarkEnd w:id="103"/>
    </w:p>
    <w:p>
      <w:pPr>
        <w:pStyle w:val="4"/>
        <w:adjustRightInd w:val="0"/>
        <w:snapToGrid w:val="0"/>
        <w:spacing w:line="576" w:lineRule="exact"/>
        <w:rPr>
          <w:rFonts w:hint="eastAsia" w:ascii="仿宋" w:hAnsi="仿宋" w:eastAsia="仿宋"/>
        </w:rPr>
      </w:pPr>
      <w:bookmarkStart w:id="104" w:name="_Toc15396626"/>
      <w:bookmarkStart w:id="105" w:name="_Toc7628"/>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104"/>
      <w:bookmarkEnd w:id="105"/>
    </w:p>
    <w:p>
      <w:pPr>
        <w:pStyle w:val="4"/>
        <w:adjustRightInd w:val="0"/>
        <w:snapToGrid w:val="0"/>
        <w:spacing w:line="576" w:lineRule="exact"/>
        <w:rPr>
          <w:rFonts w:hint="eastAsia" w:ascii="仿宋" w:hAnsi="仿宋" w:eastAsia="仿宋"/>
        </w:rPr>
      </w:pPr>
      <w:bookmarkStart w:id="106" w:name="_Toc2341"/>
      <w:bookmarkStart w:id="107" w:name="_Toc15396627"/>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106"/>
      <w:bookmarkEnd w:id="107"/>
    </w:p>
    <w:p>
      <w:pPr>
        <w:pStyle w:val="4"/>
        <w:adjustRightInd w:val="0"/>
        <w:snapToGrid w:val="0"/>
        <w:spacing w:line="576" w:lineRule="exact"/>
        <w:rPr>
          <w:rFonts w:hint="eastAsia" w:ascii="仿宋" w:hAnsi="仿宋" w:eastAsia="仿宋"/>
        </w:rPr>
      </w:pPr>
      <w:bookmarkStart w:id="108" w:name="_Toc15396628"/>
      <w:bookmarkStart w:id="109" w:name="_Toc7611"/>
      <w:r>
        <w:rPr>
          <w:rStyle w:val="32"/>
          <w:rFonts w:hint="eastAsia" w:ascii="仿宋" w:hAnsi="仿宋" w:eastAsia="仿宋"/>
          <w:b w:val="0"/>
          <w:bCs w:val="0"/>
        </w:rPr>
        <w:t>十、</w:t>
      </w:r>
      <w:bookmarkEnd w:id="108"/>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109"/>
    </w:p>
    <w:p>
      <w:pPr>
        <w:pStyle w:val="4"/>
        <w:adjustRightInd w:val="0"/>
        <w:snapToGrid w:val="0"/>
        <w:spacing w:line="576" w:lineRule="exact"/>
        <w:rPr>
          <w:rFonts w:hint="eastAsia" w:ascii="仿宋" w:hAnsi="仿宋" w:eastAsia="仿宋"/>
        </w:rPr>
      </w:pPr>
      <w:bookmarkStart w:id="110" w:name="_Toc15396629"/>
      <w:bookmarkStart w:id="111" w:name="_Toc16202"/>
      <w:r>
        <w:rPr>
          <w:rStyle w:val="32"/>
          <w:rFonts w:hint="eastAsia" w:ascii="仿宋" w:hAnsi="仿宋" w:eastAsia="仿宋"/>
          <w:b w:val="0"/>
          <w:bCs w:val="0"/>
        </w:rPr>
        <w:t>十一、</w:t>
      </w:r>
      <w:bookmarkEnd w:id="110"/>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111"/>
    </w:p>
    <w:p>
      <w:pPr>
        <w:pStyle w:val="4"/>
        <w:adjustRightInd w:val="0"/>
        <w:snapToGrid w:val="0"/>
        <w:spacing w:line="576" w:lineRule="exact"/>
        <w:rPr>
          <w:rFonts w:hint="eastAsia" w:ascii="仿宋" w:hAnsi="仿宋" w:eastAsia="仿宋"/>
        </w:rPr>
      </w:pPr>
      <w:bookmarkStart w:id="112" w:name="_Toc15396630"/>
      <w:bookmarkStart w:id="113" w:name="_Toc21269"/>
      <w:r>
        <w:rPr>
          <w:rStyle w:val="32"/>
          <w:rFonts w:hint="eastAsia" w:ascii="仿宋" w:hAnsi="仿宋" w:eastAsia="仿宋"/>
          <w:b w:val="0"/>
          <w:bCs w:val="0"/>
        </w:rPr>
        <w:t>十二、</w:t>
      </w:r>
      <w:bookmarkEnd w:id="112"/>
      <w:r>
        <w:rPr>
          <w:rStyle w:val="32"/>
          <w:rFonts w:hint="eastAsia" w:ascii="仿宋" w:hAnsi="仿宋" w:eastAsia="仿宋"/>
          <w:b w:val="0"/>
          <w:bCs w:val="0"/>
        </w:rPr>
        <w:t>国有资本经营预算财政拨款支出决算表</w:t>
      </w:r>
      <w:bookmarkEnd w:id="113"/>
    </w:p>
    <w:p>
      <w:pPr>
        <w:pStyle w:val="4"/>
        <w:adjustRightInd w:val="0"/>
        <w:snapToGrid w:val="0"/>
        <w:spacing w:line="576" w:lineRule="exact"/>
        <w:rPr>
          <w:rFonts w:eastAsia="仿宋"/>
        </w:rPr>
      </w:pPr>
      <w:bookmarkStart w:id="114" w:name="_Toc15396631"/>
      <w:bookmarkStart w:id="115" w:name="_Toc11007"/>
      <w:r>
        <w:rPr>
          <w:rStyle w:val="32"/>
          <w:rFonts w:hint="eastAsia" w:ascii="仿宋" w:hAnsi="仿宋" w:eastAsia="仿宋"/>
          <w:b w:val="0"/>
          <w:bCs w:val="0"/>
        </w:rPr>
        <w:t>十三、</w:t>
      </w:r>
      <w:bookmarkEnd w:id="114"/>
      <w:r>
        <w:rPr>
          <w:rStyle w:val="32"/>
          <w:rFonts w:hint="eastAsia" w:ascii="仿宋" w:hAnsi="仿宋" w:eastAsia="仿宋"/>
          <w:b w:val="0"/>
          <w:bCs w:val="0"/>
        </w:rPr>
        <w:t>财政拨款“三公”经费支出决算表</w:t>
      </w:r>
      <w:bookmarkEnd w:id="115"/>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仿宋"/>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Helvetica Neue">
    <w:altName w:val="华文仿宋"/>
    <w:panose1 w:val="00000000000000000000"/>
    <w:charset w:val="00"/>
    <w:family w:val="auto"/>
    <w:pitch w:val="default"/>
    <w:sig w:usb0="00000000" w:usb1="00000000" w:usb2="0000000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N2QyZDc0YjU4MmU0NmM2ZjAyOWQ4YzFmZDQxNjkifQ=="/>
  </w:docVars>
  <w:rsids>
    <w:rsidRoot w:val="00F1361C"/>
    <w:rsid w:val="0000210A"/>
    <w:rsid w:val="00015D77"/>
    <w:rsid w:val="000222C6"/>
    <w:rsid w:val="0002549F"/>
    <w:rsid w:val="00030FED"/>
    <w:rsid w:val="000468DB"/>
    <w:rsid w:val="0006487A"/>
    <w:rsid w:val="00065F8F"/>
    <w:rsid w:val="00070A43"/>
    <w:rsid w:val="00073053"/>
    <w:rsid w:val="000768F2"/>
    <w:rsid w:val="0009184B"/>
    <w:rsid w:val="00094236"/>
    <w:rsid w:val="0009593C"/>
    <w:rsid w:val="00097322"/>
    <w:rsid w:val="000A2378"/>
    <w:rsid w:val="000A6A92"/>
    <w:rsid w:val="000B047F"/>
    <w:rsid w:val="000B5923"/>
    <w:rsid w:val="000B5A48"/>
    <w:rsid w:val="000B6FF3"/>
    <w:rsid w:val="000C3467"/>
    <w:rsid w:val="000C3CA6"/>
    <w:rsid w:val="000D1267"/>
    <w:rsid w:val="000D1D50"/>
    <w:rsid w:val="000D5782"/>
    <w:rsid w:val="000E6613"/>
    <w:rsid w:val="000E7119"/>
    <w:rsid w:val="000F70CA"/>
    <w:rsid w:val="000F74C5"/>
    <w:rsid w:val="00114E9B"/>
    <w:rsid w:val="00136D0C"/>
    <w:rsid w:val="00142216"/>
    <w:rsid w:val="00144D6A"/>
    <w:rsid w:val="0014729F"/>
    <w:rsid w:val="00157BAB"/>
    <w:rsid w:val="001654D1"/>
    <w:rsid w:val="00174518"/>
    <w:rsid w:val="0018106D"/>
    <w:rsid w:val="001877A7"/>
    <w:rsid w:val="00191536"/>
    <w:rsid w:val="00196687"/>
    <w:rsid w:val="001A6990"/>
    <w:rsid w:val="001B0D5C"/>
    <w:rsid w:val="001C0962"/>
    <w:rsid w:val="001D7531"/>
    <w:rsid w:val="001E2FF1"/>
    <w:rsid w:val="001E737D"/>
    <w:rsid w:val="001F0592"/>
    <w:rsid w:val="001F7506"/>
    <w:rsid w:val="002006CD"/>
    <w:rsid w:val="00202B36"/>
    <w:rsid w:val="00204B7A"/>
    <w:rsid w:val="00204CDE"/>
    <w:rsid w:val="0021101A"/>
    <w:rsid w:val="00213534"/>
    <w:rsid w:val="002158F2"/>
    <w:rsid w:val="00217081"/>
    <w:rsid w:val="00220536"/>
    <w:rsid w:val="00235629"/>
    <w:rsid w:val="00247B82"/>
    <w:rsid w:val="00260C38"/>
    <w:rsid w:val="002616C0"/>
    <w:rsid w:val="00265372"/>
    <w:rsid w:val="00265FF8"/>
    <w:rsid w:val="002662AA"/>
    <w:rsid w:val="00280496"/>
    <w:rsid w:val="00294DC9"/>
    <w:rsid w:val="00295495"/>
    <w:rsid w:val="002A05D8"/>
    <w:rsid w:val="002A31DE"/>
    <w:rsid w:val="002B2613"/>
    <w:rsid w:val="002D5241"/>
    <w:rsid w:val="002D6D05"/>
    <w:rsid w:val="002E65CD"/>
    <w:rsid w:val="002F1818"/>
    <w:rsid w:val="002F567B"/>
    <w:rsid w:val="003216A9"/>
    <w:rsid w:val="00335A74"/>
    <w:rsid w:val="00342E0A"/>
    <w:rsid w:val="00347C91"/>
    <w:rsid w:val="0036561B"/>
    <w:rsid w:val="00367CB7"/>
    <w:rsid w:val="0037013F"/>
    <w:rsid w:val="00370ED6"/>
    <w:rsid w:val="00380C92"/>
    <w:rsid w:val="003A484F"/>
    <w:rsid w:val="003A4883"/>
    <w:rsid w:val="003B0BE0"/>
    <w:rsid w:val="003B0C1B"/>
    <w:rsid w:val="003B1BA6"/>
    <w:rsid w:val="003B688C"/>
    <w:rsid w:val="003C0291"/>
    <w:rsid w:val="003C39AE"/>
    <w:rsid w:val="003C7B60"/>
    <w:rsid w:val="003D0C0F"/>
    <w:rsid w:val="003D1FB2"/>
    <w:rsid w:val="003D66DA"/>
    <w:rsid w:val="003E1310"/>
    <w:rsid w:val="003E6F55"/>
    <w:rsid w:val="00402FD9"/>
    <w:rsid w:val="00406254"/>
    <w:rsid w:val="004223DE"/>
    <w:rsid w:val="004249F2"/>
    <w:rsid w:val="00434489"/>
    <w:rsid w:val="00437085"/>
    <w:rsid w:val="00443880"/>
    <w:rsid w:val="004450C8"/>
    <w:rsid w:val="004464F4"/>
    <w:rsid w:val="00446E63"/>
    <w:rsid w:val="00467094"/>
    <w:rsid w:val="00471401"/>
    <w:rsid w:val="00473F31"/>
    <w:rsid w:val="0048263A"/>
    <w:rsid w:val="00487E5D"/>
    <w:rsid w:val="00490C69"/>
    <w:rsid w:val="004A68A4"/>
    <w:rsid w:val="004A711F"/>
    <w:rsid w:val="004B199D"/>
    <w:rsid w:val="004B4690"/>
    <w:rsid w:val="004B4BB0"/>
    <w:rsid w:val="004E0A2D"/>
    <w:rsid w:val="004E206B"/>
    <w:rsid w:val="004E6DF7"/>
    <w:rsid w:val="004F0FBD"/>
    <w:rsid w:val="00503E9C"/>
    <w:rsid w:val="00505A47"/>
    <w:rsid w:val="00512FDA"/>
    <w:rsid w:val="00517995"/>
    <w:rsid w:val="00520DA0"/>
    <w:rsid w:val="00525E15"/>
    <w:rsid w:val="00552662"/>
    <w:rsid w:val="00555585"/>
    <w:rsid w:val="005664BB"/>
    <w:rsid w:val="00566FFA"/>
    <w:rsid w:val="0057481D"/>
    <w:rsid w:val="0058486E"/>
    <w:rsid w:val="00585B33"/>
    <w:rsid w:val="00587F2C"/>
    <w:rsid w:val="0059014D"/>
    <w:rsid w:val="005A0281"/>
    <w:rsid w:val="005B5C64"/>
    <w:rsid w:val="005B67C6"/>
    <w:rsid w:val="005C5337"/>
    <w:rsid w:val="005C6BD0"/>
    <w:rsid w:val="005D1C8B"/>
    <w:rsid w:val="005D468D"/>
    <w:rsid w:val="005D5CED"/>
    <w:rsid w:val="005D7D8C"/>
    <w:rsid w:val="005E19DF"/>
    <w:rsid w:val="005E2A32"/>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B7C1C"/>
    <w:rsid w:val="006C1937"/>
    <w:rsid w:val="006F020C"/>
    <w:rsid w:val="006F1D0A"/>
    <w:rsid w:val="007127B7"/>
    <w:rsid w:val="0071798E"/>
    <w:rsid w:val="00717E61"/>
    <w:rsid w:val="00724BEF"/>
    <w:rsid w:val="007416B6"/>
    <w:rsid w:val="00745AEE"/>
    <w:rsid w:val="00746F48"/>
    <w:rsid w:val="0075404D"/>
    <w:rsid w:val="0076182A"/>
    <w:rsid w:val="00767B7E"/>
    <w:rsid w:val="007733F8"/>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5FBC"/>
    <w:rsid w:val="00871F71"/>
    <w:rsid w:val="00872B26"/>
    <w:rsid w:val="00872FD8"/>
    <w:rsid w:val="00885AF4"/>
    <w:rsid w:val="008939CD"/>
    <w:rsid w:val="008B768C"/>
    <w:rsid w:val="008C4DB1"/>
    <w:rsid w:val="008C4EAF"/>
    <w:rsid w:val="008C5176"/>
    <w:rsid w:val="008C7EE4"/>
    <w:rsid w:val="008C7FD0"/>
    <w:rsid w:val="008E1000"/>
    <w:rsid w:val="008E1DE7"/>
    <w:rsid w:val="008E707C"/>
    <w:rsid w:val="008F1E49"/>
    <w:rsid w:val="00900B08"/>
    <w:rsid w:val="00902155"/>
    <w:rsid w:val="00902FA3"/>
    <w:rsid w:val="00923564"/>
    <w:rsid w:val="0092392E"/>
    <w:rsid w:val="009315F9"/>
    <w:rsid w:val="00933499"/>
    <w:rsid w:val="00935C98"/>
    <w:rsid w:val="00943DCE"/>
    <w:rsid w:val="00946945"/>
    <w:rsid w:val="00951248"/>
    <w:rsid w:val="0095152F"/>
    <w:rsid w:val="00952F43"/>
    <w:rsid w:val="00954C49"/>
    <w:rsid w:val="00955E37"/>
    <w:rsid w:val="0097099F"/>
    <w:rsid w:val="00971997"/>
    <w:rsid w:val="00971FFC"/>
    <w:rsid w:val="0098660A"/>
    <w:rsid w:val="009931C3"/>
    <w:rsid w:val="009A60EF"/>
    <w:rsid w:val="009A78E6"/>
    <w:rsid w:val="009B208E"/>
    <w:rsid w:val="009B2C43"/>
    <w:rsid w:val="009B4EAE"/>
    <w:rsid w:val="009B7536"/>
    <w:rsid w:val="009B7573"/>
    <w:rsid w:val="009C22F4"/>
    <w:rsid w:val="009C2A4B"/>
    <w:rsid w:val="009C2E98"/>
    <w:rsid w:val="009D3447"/>
    <w:rsid w:val="009D4711"/>
    <w:rsid w:val="009E4DB6"/>
    <w:rsid w:val="009E7709"/>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4AC1"/>
    <w:rsid w:val="00A45BB7"/>
    <w:rsid w:val="00A51AFA"/>
    <w:rsid w:val="00A56DF2"/>
    <w:rsid w:val="00A56E6E"/>
    <w:rsid w:val="00A57562"/>
    <w:rsid w:val="00A6018A"/>
    <w:rsid w:val="00A67AB5"/>
    <w:rsid w:val="00A733B2"/>
    <w:rsid w:val="00A741C2"/>
    <w:rsid w:val="00A91760"/>
    <w:rsid w:val="00A93B00"/>
    <w:rsid w:val="00A93C21"/>
    <w:rsid w:val="00AB507F"/>
    <w:rsid w:val="00AB64C9"/>
    <w:rsid w:val="00AC3C6A"/>
    <w:rsid w:val="00AD5620"/>
    <w:rsid w:val="00AD656B"/>
    <w:rsid w:val="00AD7C1B"/>
    <w:rsid w:val="00AE16BA"/>
    <w:rsid w:val="00AE1EBE"/>
    <w:rsid w:val="00AF0A50"/>
    <w:rsid w:val="00B03C9D"/>
    <w:rsid w:val="00B060AE"/>
    <w:rsid w:val="00B079B4"/>
    <w:rsid w:val="00B10517"/>
    <w:rsid w:val="00B14E76"/>
    <w:rsid w:val="00B161B8"/>
    <w:rsid w:val="00B2048C"/>
    <w:rsid w:val="00B310B9"/>
    <w:rsid w:val="00B35F3F"/>
    <w:rsid w:val="00B36CBB"/>
    <w:rsid w:val="00B425E0"/>
    <w:rsid w:val="00B440AA"/>
    <w:rsid w:val="00B44B70"/>
    <w:rsid w:val="00B53C56"/>
    <w:rsid w:val="00B57DAF"/>
    <w:rsid w:val="00B77EA6"/>
    <w:rsid w:val="00B80BBC"/>
    <w:rsid w:val="00B81408"/>
    <w:rsid w:val="00B81598"/>
    <w:rsid w:val="00B817BE"/>
    <w:rsid w:val="00B841F1"/>
    <w:rsid w:val="00B944D6"/>
    <w:rsid w:val="00BB118C"/>
    <w:rsid w:val="00BB360C"/>
    <w:rsid w:val="00BB4DF0"/>
    <w:rsid w:val="00BC289F"/>
    <w:rsid w:val="00BC2D50"/>
    <w:rsid w:val="00BC5361"/>
    <w:rsid w:val="00BC5460"/>
    <w:rsid w:val="00BC6B50"/>
    <w:rsid w:val="00BD0E25"/>
    <w:rsid w:val="00BD30C1"/>
    <w:rsid w:val="00BF1D7C"/>
    <w:rsid w:val="00BF5BD6"/>
    <w:rsid w:val="00C03E31"/>
    <w:rsid w:val="00C11448"/>
    <w:rsid w:val="00C20E15"/>
    <w:rsid w:val="00C33E72"/>
    <w:rsid w:val="00C354B2"/>
    <w:rsid w:val="00C35554"/>
    <w:rsid w:val="00C42709"/>
    <w:rsid w:val="00C52575"/>
    <w:rsid w:val="00C533CC"/>
    <w:rsid w:val="00C5420D"/>
    <w:rsid w:val="00C5751C"/>
    <w:rsid w:val="00C61BFC"/>
    <w:rsid w:val="00C62B85"/>
    <w:rsid w:val="00C65438"/>
    <w:rsid w:val="00C87FD8"/>
    <w:rsid w:val="00C91381"/>
    <w:rsid w:val="00C91CBB"/>
    <w:rsid w:val="00CB41A2"/>
    <w:rsid w:val="00CB4E70"/>
    <w:rsid w:val="00CB5ECC"/>
    <w:rsid w:val="00CC09B6"/>
    <w:rsid w:val="00CC666F"/>
    <w:rsid w:val="00CC6BAC"/>
    <w:rsid w:val="00CD1E3F"/>
    <w:rsid w:val="00CE44F6"/>
    <w:rsid w:val="00CE49DA"/>
    <w:rsid w:val="00CE7B61"/>
    <w:rsid w:val="00D00095"/>
    <w:rsid w:val="00D0568D"/>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26A9"/>
    <w:rsid w:val="00E853CE"/>
    <w:rsid w:val="00E867B6"/>
    <w:rsid w:val="00EA010F"/>
    <w:rsid w:val="00ED1722"/>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4AD5"/>
    <w:rsid w:val="00F36D8F"/>
    <w:rsid w:val="00F417B1"/>
    <w:rsid w:val="00F45853"/>
    <w:rsid w:val="00F56A0C"/>
    <w:rsid w:val="00F602DF"/>
    <w:rsid w:val="00F754A1"/>
    <w:rsid w:val="00F81FD9"/>
    <w:rsid w:val="00F841AA"/>
    <w:rsid w:val="00F84A94"/>
    <w:rsid w:val="00F87E96"/>
    <w:rsid w:val="00FA23E8"/>
    <w:rsid w:val="00FA2E24"/>
    <w:rsid w:val="00FD3CC1"/>
    <w:rsid w:val="00FF1E02"/>
    <w:rsid w:val="00FF30B4"/>
    <w:rsid w:val="01482F35"/>
    <w:rsid w:val="015975B8"/>
    <w:rsid w:val="0166481E"/>
    <w:rsid w:val="01DF2ACD"/>
    <w:rsid w:val="02143E91"/>
    <w:rsid w:val="03440BEC"/>
    <w:rsid w:val="04EA6EA9"/>
    <w:rsid w:val="05267175"/>
    <w:rsid w:val="05490662"/>
    <w:rsid w:val="066E0107"/>
    <w:rsid w:val="06D20EAF"/>
    <w:rsid w:val="07996F6E"/>
    <w:rsid w:val="089569CA"/>
    <w:rsid w:val="09517F1F"/>
    <w:rsid w:val="0A2032A3"/>
    <w:rsid w:val="0AC561A5"/>
    <w:rsid w:val="0AD9089D"/>
    <w:rsid w:val="0D9220F5"/>
    <w:rsid w:val="0D9A438D"/>
    <w:rsid w:val="0DDA013B"/>
    <w:rsid w:val="0F98263C"/>
    <w:rsid w:val="101860EC"/>
    <w:rsid w:val="108550A9"/>
    <w:rsid w:val="10C055FF"/>
    <w:rsid w:val="118107EC"/>
    <w:rsid w:val="13D50BC4"/>
    <w:rsid w:val="13DF788E"/>
    <w:rsid w:val="13F0151D"/>
    <w:rsid w:val="14201CC6"/>
    <w:rsid w:val="15664405"/>
    <w:rsid w:val="166F3898"/>
    <w:rsid w:val="16BB723D"/>
    <w:rsid w:val="18DD799C"/>
    <w:rsid w:val="191C57C6"/>
    <w:rsid w:val="1B1775FD"/>
    <w:rsid w:val="1BE8440E"/>
    <w:rsid w:val="1D155CEE"/>
    <w:rsid w:val="1E976FFB"/>
    <w:rsid w:val="1FF35744"/>
    <w:rsid w:val="20976E37"/>
    <w:rsid w:val="21E93837"/>
    <w:rsid w:val="222A3FB3"/>
    <w:rsid w:val="23860B96"/>
    <w:rsid w:val="240371BF"/>
    <w:rsid w:val="249A53EE"/>
    <w:rsid w:val="25AF5D69"/>
    <w:rsid w:val="25BB7A60"/>
    <w:rsid w:val="25C327DD"/>
    <w:rsid w:val="27820890"/>
    <w:rsid w:val="27D37BD0"/>
    <w:rsid w:val="28B312A3"/>
    <w:rsid w:val="28C20BAF"/>
    <w:rsid w:val="298158D8"/>
    <w:rsid w:val="29FD04D3"/>
    <w:rsid w:val="2C2D3932"/>
    <w:rsid w:val="2C8A61B5"/>
    <w:rsid w:val="2C950F46"/>
    <w:rsid w:val="2D7C7C93"/>
    <w:rsid w:val="2DF04E50"/>
    <w:rsid w:val="2EAE2A36"/>
    <w:rsid w:val="2EB46B02"/>
    <w:rsid w:val="2F040D46"/>
    <w:rsid w:val="2F0F18CB"/>
    <w:rsid w:val="2FE30A93"/>
    <w:rsid w:val="31416041"/>
    <w:rsid w:val="319F7F4E"/>
    <w:rsid w:val="32295965"/>
    <w:rsid w:val="324412B4"/>
    <w:rsid w:val="327D7F3B"/>
    <w:rsid w:val="3304709D"/>
    <w:rsid w:val="33D71FCC"/>
    <w:rsid w:val="34193D8C"/>
    <w:rsid w:val="3453374F"/>
    <w:rsid w:val="357B5B0B"/>
    <w:rsid w:val="35EA0E32"/>
    <w:rsid w:val="36AA5135"/>
    <w:rsid w:val="36B03254"/>
    <w:rsid w:val="36B86B92"/>
    <w:rsid w:val="36F402F3"/>
    <w:rsid w:val="376D39B2"/>
    <w:rsid w:val="37E16F03"/>
    <w:rsid w:val="389E74BC"/>
    <w:rsid w:val="38D469F0"/>
    <w:rsid w:val="3A776F0A"/>
    <w:rsid w:val="3AE46F35"/>
    <w:rsid w:val="3B5A5A4D"/>
    <w:rsid w:val="3C696000"/>
    <w:rsid w:val="3D98207C"/>
    <w:rsid w:val="3E78745D"/>
    <w:rsid w:val="41CB2ACF"/>
    <w:rsid w:val="41E336B7"/>
    <w:rsid w:val="41E4078C"/>
    <w:rsid w:val="43077410"/>
    <w:rsid w:val="430A5CF0"/>
    <w:rsid w:val="43CB31A3"/>
    <w:rsid w:val="44E268DA"/>
    <w:rsid w:val="44EC72F4"/>
    <w:rsid w:val="45EE5110"/>
    <w:rsid w:val="46A66C38"/>
    <w:rsid w:val="484E5E5E"/>
    <w:rsid w:val="48B24C6A"/>
    <w:rsid w:val="492333BC"/>
    <w:rsid w:val="497044A5"/>
    <w:rsid w:val="49B64BB4"/>
    <w:rsid w:val="4A627F82"/>
    <w:rsid w:val="4B015D15"/>
    <w:rsid w:val="4B0E749A"/>
    <w:rsid w:val="4B2F2E28"/>
    <w:rsid w:val="4B4F25DA"/>
    <w:rsid w:val="4BE068DB"/>
    <w:rsid w:val="4C340679"/>
    <w:rsid w:val="4D577224"/>
    <w:rsid w:val="4DC01C20"/>
    <w:rsid w:val="4EAB630A"/>
    <w:rsid w:val="4ECE2238"/>
    <w:rsid w:val="503A4A16"/>
    <w:rsid w:val="50936DA4"/>
    <w:rsid w:val="51B36B70"/>
    <w:rsid w:val="537E6D0A"/>
    <w:rsid w:val="53A35C37"/>
    <w:rsid w:val="55380B37"/>
    <w:rsid w:val="556A2B00"/>
    <w:rsid w:val="563F6560"/>
    <w:rsid w:val="57B73268"/>
    <w:rsid w:val="58467793"/>
    <w:rsid w:val="59145148"/>
    <w:rsid w:val="59336B08"/>
    <w:rsid w:val="596F6D3D"/>
    <w:rsid w:val="599E6821"/>
    <w:rsid w:val="5A3E3702"/>
    <w:rsid w:val="5A426C5E"/>
    <w:rsid w:val="5A4A6C13"/>
    <w:rsid w:val="5AF92295"/>
    <w:rsid w:val="5CD71FC4"/>
    <w:rsid w:val="5DED55FF"/>
    <w:rsid w:val="5E8D089D"/>
    <w:rsid w:val="5F036297"/>
    <w:rsid w:val="5F355DB5"/>
    <w:rsid w:val="61126E9E"/>
    <w:rsid w:val="6164334A"/>
    <w:rsid w:val="627066F9"/>
    <w:rsid w:val="6465713E"/>
    <w:rsid w:val="64C016E6"/>
    <w:rsid w:val="65C50080"/>
    <w:rsid w:val="66D859BC"/>
    <w:rsid w:val="66E049AE"/>
    <w:rsid w:val="66EA2D39"/>
    <w:rsid w:val="69121677"/>
    <w:rsid w:val="6A681FC1"/>
    <w:rsid w:val="6B9D7A2A"/>
    <w:rsid w:val="6C4A05C8"/>
    <w:rsid w:val="6CC73EF8"/>
    <w:rsid w:val="6E7E3605"/>
    <w:rsid w:val="6F1647E5"/>
    <w:rsid w:val="6F3B7E47"/>
    <w:rsid w:val="6FF5CC65"/>
    <w:rsid w:val="6FFA64C1"/>
    <w:rsid w:val="70022965"/>
    <w:rsid w:val="70224AE3"/>
    <w:rsid w:val="715C0E4B"/>
    <w:rsid w:val="71894113"/>
    <w:rsid w:val="719A11A6"/>
    <w:rsid w:val="72547EE5"/>
    <w:rsid w:val="72734D90"/>
    <w:rsid w:val="72BF2569"/>
    <w:rsid w:val="73AD73D5"/>
    <w:rsid w:val="73B6EB34"/>
    <w:rsid w:val="73E9179C"/>
    <w:rsid w:val="744731E5"/>
    <w:rsid w:val="744B7170"/>
    <w:rsid w:val="746238C3"/>
    <w:rsid w:val="74AA69DC"/>
    <w:rsid w:val="75E4225D"/>
    <w:rsid w:val="762F4617"/>
    <w:rsid w:val="76E3355F"/>
    <w:rsid w:val="77562325"/>
    <w:rsid w:val="778769C8"/>
    <w:rsid w:val="781E1AEC"/>
    <w:rsid w:val="7936541B"/>
    <w:rsid w:val="79EE5BA4"/>
    <w:rsid w:val="79F82AC8"/>
    <w:rsid w:val="7A1D765B"/>
    <w:rsid w:val="7A4D4F97"/>
    <w:rsid w:val="7A6047E0"/>
    <w:rsid w:val="7A894339"/>
    <w:rsid w:val="7C662916"/>
    <w:rsid w:val="7C937F61"/>
    <w:rsid w:val="7CA567DD"/>
    <w:rsid w:val="7CCC5441"/>
    <w:rsid w:val="7CE93FE9"/>
    <w:rsid w:val="7EEF11D3"/>
    <w:rsid w:val="7F190B1B"/>
    <w:rsid w:val="7FA30C79"/>
    <w:rsid w:val="7FB7269E"/>
    <w:rsid w:val="7FC96657"/>
    <w:rsid w:val="7FFF5925"/>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Salutation"/>
    <w:basedOn w:val="1"/>
    <w:next w:val="1"/>
    <w:qFormat/>
    <w:uiPriority w:val="0"/>
  </w:style>
  <w:style w:type="paragraph" w:styleId="7">
    <w:name w:val="Body Text"/>
    <w:basedOn w:val="1"/>
    <w:link w:val="29"/>
    <w:qFormat/>
    <w:uiPriority w:val="99"/>
    <w:pPr>
      <w:spacing w:beforeLines="30"/>
    </w:pPr>
    <w:rPr>
      <w:rFonts w:ascii="仿宋_GB2312" w:eastAsia="仿宋_GB2312"/>
      <w:kern w:val="0"/>
      <w:sz w:val="30"/>
    </w:rPr>
  </w:style>
  <w:style w:type="paragraph" w:styleId="8">
    <w:name w:val="Body Text Indent"/>
    <w:basedOn w:val="1"/>
    <w:next w:val="9"/>
    <w:qFormat/>
    <w:uiPriority w:val="0"/>
    <w:pPr>
      <w:spacing w:after="120"/>
      <w:ind w:left="200" w:leftChars="200"/>
    </w:pPr>
    <w:rPr>
      <w:rFonts w:ascii="仿宋_GB2312"/>
      <w:szCs w:val="32"/>
    </w:rPr>
  </w:style>
  <w:style w:type="paragraph" w:styleId="9">
    <w:name w:val="Body Text First Indent 2"/>
    <w:basedOn w:val="8"/>
    <w:unhideWhenUsed/>
    <w:qFormat/>
    <w:uiPriority w:val="99"/>
    <w:pPr>
      <w:ind w:firstLine="420" w:firstLineChars="200"/>
    </w:p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4"/>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9"/>
    <w:semiHidden/>
    <w:qFormat/>
    <w:uiPriority w:val="0"/>
    <w:pPr>
      <w:snapToGrid w:val="0"/>
      <w:jc w:val="left"/>
    </w:pPr>
    <w:rPr>
      <w:sz w:val="18"/>
      <w:szCs w:val="18"/>
    </w:rPr>
  </w:style>
  <w:style w:type="paragraph" w:styleId="16">
    <w:name w:val="toc 2"/>
    <w:basedOn w:val="1"/>
    <w:next w:val="1"/>
    <w:unhideWhenUsed/>
    <w:qFormat/>
    <w:uiPriority w:val="39"/>
    <w:pPr>
      <w:tabs>
        <w:tab w:val="right" w:leader="dot" w:pos="8296"/>
      </w:tabs>
      <w:ind w:left="420" w:leftChars="200"/>
    </w:pPr>
  </w:style>
  <w:style w:type="character" w:styleId="19">
    <w:name w:val="Strong"/>
    <w:basedOn w:val="18"/>
    <w:qFormat/>
    <w:uiPriority w:val="99"/>
    <w:rPr>
      <w:b/>
    </w:rPr>
  </w:style>
  <w:style w:type="character" w:styleId="20">
    <w:name w:val="page number"/>
    <w:basedOn w:val="18"/>
    <w:qFormat/>
    <w:uiPriority w:val="0"/>
  </w:style>
  <w:style w:type="character" w:styleId="21">
    <w:name w:val="FollowedHyperlink"/>
    <w:basedOn w:val="18"/>
    <w:semiHidden/>
    <w:unhideWhenUsed/>
    <w:qFormat/>
    <w:uiPriority w:val="99"/>
    <w:rPr>
      <w:color w:val="954F72"/>
      <w:u w:val="single"/>
    </w:rPr>
  </w:style>
  <w:style w:type="character" w:styleId="22">
    <w:name w:val="Hyperlink"/>
    <w:basedOn w:val="18"/>
    <w:unhideWhenUsed/>
    <w:qFormat/>
    <w:uiPriority w:val="99"/>
    <w:rPr>
      <w:color w:val="0000FF" w:themeColor="hyperlink"/>
      <w:u w:val="single"/>
      <w14:textFill>
        <w14:solidFill>
          <w14:schemeClr w14:val="hlink"/>
        </w14:solidFill>
      </w14:textFill>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8"/>
    <w:semiHidden/>
    <w:qFormat/>
    <w:uiPriority w:val="99"/>
    <w:rPr>
      <w:rFonts w:ascii="Times New Roman" w:hAnsi="Times New Roman"/>
      <w:sz w:val="18"/>
      <w:szCs w:val="18"/>
    </w:rPr>
  </w:style>
  <w:style w:type="character" w:customStyle="1" w:styleId="25">
    <w:name w:val="页眉 字符"/>
    <w:link w:val="13"/>
    <w:semiHidden/>
    <w:qFormat/>
    <w:locked/>
    <w:uiPriority w:val="99"/>
    <w:rPr>
      <w:sz w:val="18"/>
    </w:rPr>
  </w:style>
  <w:style w:type="character" w:customStyle="1" w:styleId="26">
    <w:name w:val="Footer Char"/>
    <w:basedOn w:val="18"/>
    <w:semiHidden/>
    <w:qFormat/>
    <w:uiPriority w:val="99"/>
    <w:rPr>
      <w:rFonts w:ascii="Times New Roman" w:hAnsi="Times New Roman"/>
      <w:sz w:val="18"/>
      <w:szCs w:val="18"/>
    </w:rPr>
  </w:style>
  <w:style w:type="character" w:customStyle="1" w:styleId="27">
    <w:name w:val="页脚 字符"/>
    <w:link w:val="12"/>
    <w:qFormat/>
    <w:locked/>
    <w:uiPriority w:val="99"/>
    <w:rPr>
      <w:sz w:val="18"/>
    </w:rPr>
  </w:style>
  <w:style w:type="character" w:customStyle="1" w:styleId="28">
    <w:name w:val="Body Text Char"/>
    <w:basedOn w:val="18"/>
    <w:semiHidden/>
    <w:qFormat/>
    <w:uiPriority w:val="99"/>
    <w:rPr>
      <w:rFonts w:ascii="Times New Roman" w:hAnsi="Times New Roman"/>
      <w:szCs w:val="24"/>
    </w:rPr>
  </w:style>
  <w:style w:type="character" w:customStyle="1" w:styleId="29">
    <w:name w:val="正文文本 字符"/>
    <w:link w:val="7"/>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character" w:customStyle="1" w:styleId="31">
    <w:name w:val="标题 1 字符"/>
    <w:basedOn w:val="18"/>
    <w:link w:val="3"/>
    <w:qFormat/>
    <w:uiPriority w:val="9"/>
    <w:rPr>
      <w:rFonts w:ascii="Times New Roman" w:hAnsi="Times New Roman"/>
      <w:b/>
      <w:bCs/>
      <w:kern w:val="44"/>
      <w:sz w:val="44"/>
      <w:szCs w:val="44"/>
    </w:rPr>
  </w:style>
  <w:style w:type="character" w:customStyle="1" w:styleId="32">
    <w:name w:val="标题 2 字符"/>
    <w:basedOn w:val="18"/>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11"/>
    <w:semiHidden/>
    <w:qFormat/>
    <w:uiPriority w:val="99"/>
    <w:rPr>
      <w:rFonts w:ascii="Times New Roman" w:hAnsi="Times New Roman"/>
      <w:kern w:val="2"/>
      <w:sz w:val="18"/>
      <w:szCs w:val="18"/>
    </w:rPr>
  </w:style>
  <w:style w:type="character" w:customStyle="1" w:styleId="35">
    <w:name w:val="标题 3 字符"/>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3">
    <w:name w:val="标题 2 字符1"/>
    <w:basedOn w:val="18"/>
    <w:link w:val="4"/>
    <w:qFormat/>
    <w:uiPriority w:val="9"/>
    <w:rPr>
      <w:rFonts w:ascii="Cambria" w:hAnsi="Cambria" w:eastAsia="宋体" w:cs="Times New Roman"/>
      <w:b/>
      <w:bCs/>
      <w:sz w:val="32"/>
      <w:szCs w:val="32"/>
    </w:rPr>
  </w:style>
  <w:style w:type="paragraph" w:customStyle="1" w:styleId="54">
    <w:name w:val="默认"/>
    <w:basedOn w:val="1"/>
    <w:next w:val="1"/>
    <w:qFormat/>
    <w:uiPriority w:val="0"/>
    <w:pPr>
      <w:widowControl/>
    </w:pPr>
    <w:rPr>
      <w:rFonts w:ascii="Helvetica Neue" w:hAnsi="Helvetica Neue" w:eastAsia="Arial Unicode MS" w:cs="Arial Unicode MS"/>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7324979319219"/>
          <c:y val="0.0684208014668023"/>
          <c:w val="0.573018597997139"/>
          <c:h val="0.670186009357526"/>
        </c:manualLayout>
      </c:layout>
      <c:barChart>
        <c:barDir val="col"/>
        <c:grouping val="clustered"/>
        <c:varyColors val="false"/>
        <c:ser>
          <c:idx val="0"/>
          <c:order val="0"/>
          <c:tx>
            <c:strRef>
              <c:f>Sheet1!$A$2</c:f>
              <c:strCache>
                <c:ptCount val="1"/>
                <c:pt idx="0">
                  <c:v>2023年</c:v>
                </c:pt>
              </c:strCache>
            </c:strRef>
          </c:tx>
          <c:spPr>
            <a:solidFill>
              <a:srgbClr val="9999FF"/>
            </a:solidFill>
            <a:ln w="12700">
              <a:solidFill>
                <a:srgbClr val="000000"/>
              </a:solidFill>
              <a:prstDash val="solid"/>
            </a:ln>
          </c:spPr>
          <c:invertIfNegative val="false"/>
          <c:dLbls>
            <c:delete val="true"/>
          </c:dLbls>
          <c:cat>
            <c:strRef>
              <c:f>Sheet1!$B$1:$C$1</c:f>
              <c:strCache>
                <c:ptCount val="2"/>
                <c:pt idx="0">
                  <c:v>收入情况（万元）</c:v>
                </c:pt>
                <c:pt idx="1">
                  <c:v>支出情况（万元）</c:v>
                </c:pt>
              </c:strCache>
            </c:strRef>
          </c:cat>
          <c:val>
            <c:numRef>
              <c:f>Sheet1!$B$2:$C$2</c:f>
              <c:numCache>
                <c:formatCode>General</c:formatCode>
                <c:ptCount val="2"/>
                <c:pt idx="0">
                  <c:v>786.55</c:v>
                </c:pt>
                <c:pt idx="1">
                  <c:v>786.55</c:v>
                </c:pt>
              </c:numCache>
            </c:numRef>
          </c:val>
        </c:ser>
        <c:ser>
          <c:idx val="1"/>
          <c:order val="1"/>
          <c:tx>
            <c:strRef>
              <c:f>Sheet1!$A$3</c:f>
              <c:strCache>
                <c:ptCount val="1"/>
                <c:pt idx="0">
                  <c:v>2024年</c:v>
                </c:pt>
              </c:strCache>
            </c:strRef>
          </c:tx>
          <c:spPr>
            <a:solidFill>
              <a:srgbClr val="993366"/>
            </a:solidFill>
            <a:ln w="12700">
              <a:solidFill>
                <a:srgbClr val="000000"/>
              </a:solidFill>
              <a:prstDash val="solid"/>
            </a:ln>
          </c:spPr>
          <c:invertIfNegative val="false"/>
          <c:dLbls>
            <c:delete val="true"/>
          </c:dLbls>
          <c:cat>
            <c:strRef>
              <c:f>Sheet1!$B$1:$C$1</c:f>
              <c:strCache>
                <c:ptCount val="2"/>
                <c:pt idx="0">
                  <c:v>收入情况（万元）</c:v>
                </c:pt>
                <c:pt idx="1">
                  <c:v>支出情况（万元）</c:v>
                </c:pt>
              </c:strCache>
            </c:strRef>
          </c:cat>
          <c:val>
            <c:numRef>
              <c:f>Sheet1!$B$3:$C$3</c:f>
              <c:numCache>
                <c:formatCode>General</c:formatCode>
                <c:ptCount val="2"/>
                <c:pt idx="0">
                  <c:v>768.2</c:v>
                </c:pt>
                <c:pt idx="1">
                  <c:v>768.2</c:v>
                </c:pt>
              </c:numCache>
            </c:numRef>
          </c:val>
        </c:ser>
        <c:dLbls>
          <c:showLegendKey val="false"/>
          <c:showVal val="false"/>
          <c:showCatName val="false"/>
          <c:showSerName val="false"/>
          <c:showPercent val="false"/>
          <c:showBubbleSize val="false"/>
        </c:dLbls>
        <c:gapWidth val="150"/>
        <c:axId val="90788992"/>
        <c:axId val="90794240"/>
      </c:barChart>
      <c:catAx>
        <c:axId val="90788992"/>
        <c:scaling>
          <c:orientation val="minMax"/>
        </c:scaling>
        <c:delete val="false"/>
        <c:axPos val="b"/>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000" b="0" i="0" u="none" strike="noStrike" kern="1200" baseline="0">
                <a:solidFill>
                  <a:srgbClr val="000000"/>
                </a:solidFill>
                <a:latin typeface="宋体" charset="-122"/>
                <a:ea typeface="宋体" charset="-122"/>
                <a:cs typeface="宋体" charset="-122"/>
              </a:defRPr>
            </a:pPr>
          </a:p>
        </c:txPr>
        <c:crossAx val="90794240"/>
        <c:crosses val="autoZero"/>
        <c:auto val="true"/>
        <c:lblAlgn val="ctr"/>
        <c:lblOffset val="100"/>
        <c:tickLblSkip val="1"/>
        <c:noMultiLvlLbl val="false"/>
      </c:catAx>
      <c:valAx>
        <c:axId val="90794240"/>
        <c:scaling>
          <c:orientation val="minMax"/>
        </c:scaling>
        <c:delete val="false"/>
        <c:axPos val="l"/>
        <c:majorGridlines>
          <c:spPr>
            <a:ln w="3175" cap="flat" cmpd="sng" algn="ctr">
              <a:solidFill>
                <a:srgbClr val="000000"/>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charset="-122"/>
                <a:ea typeface="宋体" charset="-122"/>
                <a:cs typeface="宋体" charset="-122"/>
              </a:defRPr>
            </a:pPr>
          </a:p>
        </c:txPr>
        <c:crossAx val="90788992"/>
        <c:crosses val="autoZero"/>
        <c:crossBetween val="between"/>
      </c:valAx>
      <c:spPr>
        <a:solidFill>
          <a:srgbClr val="C0C0C0"/>
        </a:solidFill>
        <a:ln w="12700">
          <a:solidFill>
            <a:srgbClr val="808080"/>
          </a:solidFill>
          <a:prstDash val="solid"/>
        </a:ln>
      </c:spPr>
    </c:plotArea>
    <c:legend>
      <c:legendPos val="r"/>
      <c:layout>
        <c:manualLayout>
          <c:xMode val="edge"/>
          <c:yMode val="edge"/>
          <c:x val="0.777885843668688"/>
          <c:y val="0.198001096696492"/>
          <c:w val="0.219304748478493"/>
          <c:h val="0.337358337454196"/>
        </c:manualLayout>
      </c:layout>
      <c:overlay val="false"/>
      <c:spPr>
        <a:noFill/>
        <a:ln w="3175">
          <a:solidFill>
            <a:srgbClr val="000000"/>
          </a:solidFill>
          <a:prstDash val="solid"/>
        </a:ln>
      </c:spPr>
      <c:txPr>
        <a:bodyPr rot="0" spcFirstLastPara="0" vertOverflow="ellipsis" vert="horz" wrap="square" anchor="ctr" anchorCtr="true"/>
        <a:lstStyle/>
        <a:p>
          <a:pPr>
            <a:defRPr lang="zh-CN" sz="1515"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2099675804478"/>
          <c:y val="0.0679012345679013"/>
          <c:w val="0.387353206865403"/>
          <c:h val="0.882304526748971"/>
        </c:manualLayout>
      </c:layout>
      <c:pieChart>
        <c:varyColors val="true"/>
        <c:ser>
          <c:idx val="0"/>
          <c:order val="0"/>
          <c:tx>
            <c:strRef>
              <c:f>Sheet1!$A$2</c:f>
              <c:strCache>
                <c:ptCount val="1"/>
                <c:pt idx="0">
                  <c:v>2024年本年收入</c:v>
                </c:pt>
              </c:strCache>
            </c:strRef>
          </c:tx>
          <c:spPr>
            <a:solidFill>
              <a:srgbClr val="9999FF"/>
            </a:solidFill>
            <a:ln w="12689">
              <a:solidFill>
                <a:srgbClr val="000000"/>
              </a:solidFill>
              <a:prstDash val="solid"/>
            </a:ln>
          </c:spPr>
          <c:explosion val="0"/>
          <c:dPt>
            <c:idx val="0"/>
            <c:bubble3D val="false"/>
            <c:spPr>
              <a:solidFill>
                <a:srgbClr val="9999FF"/>
              </a:solidFill>
              <a:ln w="12689">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1150"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f>
              <c:strCache>
                <c:ptCount val="1"/>
                <c:pt idx="0">
                  <c:v>一般公共预算财政拨款收入（万元）</c:v>
                </c:pt>
              </c:strCache>
            </c:strRef>
          </c:cat>
          <c:val>
            <c:numRef>
              <c:f>Sheet1!$B$2</c:f>
              <c:numCache>
                <c:formatCode>General</c:formatCode>
                <c:ptCount val="1"/>
                <c:pt idx="0">
                  <c:v>786.55</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689">
          <a:solidFill>
            <a:srgbClr val="808080"/>
          </a:solidFill>
          <a:prstDash val="solid"/>
        </a:ln>
      </c:spPr>
    </c:plotArea>
    <c:legend>
      <c:legendPos val="r"/>
      <c:layout>
        <c:manualLayout>
          <c:xMode val="edge"/>
          <c:yMode val="edge"/>
          <c:x val="0.57229227828003"/>
          <c:y val="0.0283428542020482"/>
          <c:w val="0.40788490327598"/>
          <c:h val="0.824056048112096"/>
        </c:manualLayout>
      </c:layout>
      <c:overlay val="false"/>
      <c:spPr>
        <a:noFill/>
        <a:ln w="3172">
          <a:solidFill>
            <a:srgbClr val="000000"/>
          </a:solidFill>
          <a:prstDash val="solid"/>
        </a:ln>
      </c:spPr>
      <c:txPr>
        <a:bodyPr rot="0" spcFirstLastPara="0" vertOverflow="ellipsis" vert="horz" wrap="square" anchor="ctr" anchorCtr="true"/>
        <a:lstStyle/>
        <a:p>
          <a:pPr>
            <a:defRPr lang="zh-CN" sz="1055"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noFill/>
    <a:ln w="9525" cap="flat" cmpd="sng" algn="ctr">
      <a:noFill/>
      <a:prstDash val="solid"/>
      <a:round/>
    </a:ln>
  </c:spPr>
  <c:txPr>
    <a:bodyPr/>
    <a:lstStyle/>
    <a:p>
      <a:pPr>
        <a:defRPr lang="zh-CN" sz="115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1042471042471"/>
          <c:y val="0.0941176470588235"/>
          <c:w val="0.399613899613904"/>
          <c:h val="0.811764705882346"/>
        </c:manualLayout>
      </c:layout>
      <c:pieChart>
        <c:varyColors val="true"/>
        <c:ser>
          <c:idx val="0"/>
          <c:order val="0"/>
          <c:tx>
            <c:strRef>
              <c:f>Sheet1!$A$2</c:f>
              <c:strCache>
                <c:ptCount val="1"/>
                <c:pt idx="0">
                  <c:v>2024年</c:v>
                </c:pt>
              </c:strCache>
            </c:strRef>
          </c:tx>
          <c:spPr>
            <a:solidFill>
              <a:srgbClr val="9999FF"/>
            </a:solidFill>
            <a:ln w="12678">
              <a:solidFill>
                <a:srgbClr val="000000"/>
              </a:solidFill>
              <a:prstDash val="solid"/>
            </a:ln>
          </c:spPr>
          <c:explosion val="0"/>
          <c:dPt>
            <c:idx val="0"/>
            <c:bubble3D val="false"/>
            <c:spPr>
              <a:solidFill>
                <a:srgbClr val="9999FF"/>
              </a:solidFill>
              <a:ln w="12678">
                <a:solidFill>
                  <a:srgbClr val="000000"/>
                </a:solidFill>
                <a:prstDash val="solid"/>
              </a:ln>
            </c:spPr>
          </c:dPt>
          <c:dPt>
            <c:idx val="1"/>
            <c:bubble3D val="false"/>
            <c:spPr>
              <a:solidFill>
                <a:srgbClr val="993366"/>
              </a:solidFill>
              <a:ln w="12678">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Sheet1!$B$1:$C$1</c:f>
              <c:strCache>
                <c:ptCount val="2"/>
                <c:pt idx="0">
                  <c:v>基本支出（万元）</c:v>
                </c:pt>
                <c:pt idx="1">
                  <c:v>项目支出（万元）</c:v>
                </c:pt>
              </c:strCache>
            </c:strRef>
          </c:cat>
          <c:val>
            <c:numRef>
              <c:f>Sheet1!$B$2:$C$2</c:f>
              <c:numCache>
                <c:formatCode>General</c:formatCode>
                <c:ptCount val="2"/>
                <c:pt idx="0">
                  <c:v>543.2</c:v>
                </c:pt>
                <c:pt idx="1">
                  <c:v>225</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678">
          <a:solidFill>
            <a:srgbClr val="808080"/>
          </a:solidFill>
          <a:prstDash val="solid"/>
        </a:ln>
      </c:spPr>
    </c:plotArea>
    <c:legend>
      <c:legendPos val="r"/>
      <c:layout>
        <c:manualLayout>
          <c:xMode val="edge"/>
          <c:yMode val="edge"/>
          <c:x val="0.642402761751676"/>
          <c:y val="0.355931389962571"/>
          <c:w val="0.340875554647465"/>
          <c:h val="0.410237981997217"/>
        </c:manualLayout>
      </c:layout>
      <c:overlay val="false"/>
      <c:spPr>
        <a:noFill/>
        <a:ln w="3170">
          <a:solidFill>
            <a:srgbClr val="000000"/>
          </a:solidFill>
          <a:prstDash val="solid"/>
        </a:ln>
      </c:spPr>
      <c:txPr>
        <a:bodyPr rot="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noFill/>
    <a:ln w="9525" cap="flat" cmpd="sng" algn="ctr">
      <a:noFill/>
      <a:prstDash val="solid"/>
      <a:round/>
    </a:ln>
  </c:spPr>
  <c:txPr>
    <a:bodyPr/>
    <a:lstStyle/>
    <a:p>
      <a:pPr>
        <a:defRPr lang="zh-CN" sz="12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6321007552898"/>
          <c:y val="0.04"/>
          <c:w val="0.573018597997139"/>
          <c:h val="0.722272749614163"/>
        </c:manualLayout>
      </c:layout>
      <c:barChart>
        <c:barDir val="col"/>
        <c:grouping val="clustered"/>
        <c:varyColors val="false"/>
        <c:ser>
          <c:idx val="0"/>
          <c:order val="0"/>
          <c:tx>
            <c:strRef>
              <c:f>Sheet1!$A$2</c:f>
              <c:strCache>
                <c:ptCount val="1"/>
                <c:pt idx="0">
                  <c:v>2023年</c:v>
                </c:pt>
              </c:strCache>
            </c:strRef>
          </c:tx>
          <c:spPr>
            <a:solidFill>
              <a:srgbClr val="9999FF"/>
            </a:solidFill>
            <a:ln w="12700">
              <a:solidFill>
                <a:srgbClr val="000000"/>
              </a:solidFill>
              <a:prstDash val="solid"/>
            </a:ln>
          </c:spPr>
          <c:invertIfNegative val="false"/>
          <c:dLbls>
            <c:delete val="true"/>
          </c:dLbls>
          <c:cat>
            <c:strRef>
              <c:f>Sheet1!$B$1:$B$1</c:f>
              <c:strCache>
                <c:ptCount val="1"/>
                <c:pt idx="0">
                  <c:v>财政拨款收支（万元）</c:v>
                </c:pt>
              </c:strCache>
            </c:strRef>
          </c:cat>
          <c:val>
            <c:numRef>
              <c:f>Sheet1!$B$2:$B$2</c:f>
              <c:numCache>
                <c:formatCode>General</c:formatCode>
                <c:ptCount val="1"/>
                <c:pt idx="0">
                  <c:v>786.55</c:v>
                </c:pt>
              </c:numCache>
            </c:numRef>
          </c:val>
        </c:ser>
        <c:ser>
          <c:idx val="1"/>
          <c:order val="1"/>
          <c:tx>
            <c:strRef>
              <c:f>Sheet1!$A$3</c:f>
              <c:strCache>
                <c:ptCount val="1"/>
                <c:pt idx="0">
                  <c:v>2024年</c:v>
                </c:pt>
              </c:strCache>
            </c:strRef>
          </c:tx>
          <c:spPr>
            <a:solidFill>
              <a:srgbClr val="993366"/>
            </a:solidFill>
            <a:ln w="12700">
              <a:solidFill>
                <a:srgbClr val="000000"/>
              </a:solidFill>
              <a:prstDash val="solid"/>
            </a:ln>
          </c:spPr>
          <c:invertIfNegative val="false"/>
          <c:dLbls>
            <c:delete val="true"/>
          </c:dLbls>
          <c:cat>
            <c:strRef>
              <c:f>Sheet1!$B$1:$B$1</c:f>
              <c:strCache>
                <c:ptCount val="1"/>
                <c:pt idx="0">
                  <c:v>财政拨款收支（万元）</c:v>
                </c:pt>
              </c:strCache>
            </c:strRef>
          </c:cat>
          <c:val>
            <c:numRef>
              <c:f>Sheet1!$B$3:$B$3</c:f>
              <c:numCache>
                <c:formatCode>General</c:formatCode>
                <c:ptCount val="1"/>
                <c:pt idx="0">
                  <c:v>768.2</c:v>
                </c:pt>
              </c:numCache>
            </c:numRef>
          </c:val>
        </c:ser>
        <c:dLbls>
          <c:showLegendKey val="false"/>
          <c:showVal val="false"/>
          <c:showCatName val="false"/>
          <c:showSerName val="false"/>
          <c:showPercent val="false"/>
          <c:showBubbleSize val="false"/>
        </c:dLbls>
        <c:gapWidth val="150"/>
        <c:axId val="182538240"/>
        <c:axId val="182540160"/>
      </c:barChart>
      <c:catAx>
        <c:axId val="182538240"/>
        <c:scaling>
          <c:orientation val="minMax"/>
        </c:scaling>
        <c:delete val="false"/>
        <c:axPos val="b"/>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charset="-122"/>
                <a:ea typeface="宋体" charset="-122"/>
                <a:cs typeface="宋体" charset="-122"/>
              </a:defRPr>
            </a:pPr>
          </a:p>
        </c:txPr>
        <c:crossAx val="182540160"/>
        <c:crosses val="autoZero"/>
        <c:auto val="true"/>
        <c:lblAlgn val="ctr"/>
        <c:lblOffset val="100"/>
        <c:tickLblSkip val="1"/>
        <c:noMultiLvlLbl val="false"/>
      </c:catAx>
      <c:valAx>
        <c:axId val="182540160"/>
        <c:scaling>
          <c:orientation val="minMax"/>
        </c:scaling>
        <c:delete val="false"/>
        <c:axPos val="l"/>
        <c:majorGridlines>
          <c:spPr>
            <a:ln w="3175" cap="flat" cmpd="sng" algn="ctr">
              <a:solidFill>
                <a:srgbClr val="000000"/>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charset="-122"/>
                <a:ea typeface="宋体" charset="-122"/>
                <a:cs typeface="宋体" charset="-122"/>
              </a:defRPr>
            </a:pPr>
          </a:p>
        </c:txPr>
        <c:crossAx val="182538240"/>
        <c:crosses val="autoZero"/>
        <c:crossBetween val="between"/>
      </c:valAx>
      <c:spPr>
        <a:solidFill>
          <a:srgbClr val="C0C0C0"/>
        </a:solidFill>
        <a:ln w="12700">
          <a:solidFill>
            <a:srgbClr val="808080"/>
          </a:solidFill>
          <a:prstDash val="solid"/>
        </a:ln>
      </c:spPr>
    </c:plotArea>
    <c:legend>
      <c:legendPos val="r"/>
      <c:layout>
        <c:manualLayout>
          <c:xMode val="edge"/>
          <c:yMode val="edge"/>
          <c:x val="0.777885843668687"/>
          <c:y val="0.198001096696492"/>
          <c:w val="0.204748601055741"/>
          <c:h val="0.395329465395775"/>
        </c:manualLayout>
      </c:layout>
      <c:overlay val="false"/>
      <c:spPr>
        <a:noFill/>
        <a:ln w="3175">
          <a:solidFill>
            <a:srgbClr val="000000"/>
          </a:solidFill>
          <a:prstDash val="solid"/>
        </a:ln>
      </c:spPr>
      <c:txPr>
        <a:bodyPr rot="0" spcFirstLastPara="0" vertOverflow="ellipsis" vert="horz" wrap="square" anchor="ctr" anchorCtr="true"/>
        <a:lstStyle/>
        <a:p>
          <a:pPr>
            <a:defRPr lang="zh-CN" sz="1515"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70865874363328"/>
          <c:y val="0.107859078590786"/>
          <c:w val="0.64169779286927"/>
          <c:h val="0.711436314363144"/>
        </c:manualLayout>
      </c:layout>
      <c:barChart>
        <c:barDir val="col"/>
        <c:grouping val="clustered"/>
        <c:varyColors val="false"/>
        <c:ser>
          <c:idx val="0"/>
          <c:order val="0"/>
          <c:tx>
            <c:strRef>
              <c:f>Sheet1!$A$2</c:f>
              <c:strCache>
                <c:ptCount val="1"/>
                <c:pt idx="0">
                  <c:v>2024年</c:v>
                </c:pt>
              </c:strCache>
            </c:strRef>
          </c:tx>
          <c:spPr>
            <a:solidFill>
              <a:srgbClr val="9999FF"/>
            </a:solidFill>
            <a:ln w="12700">
              <a:solidFill>
                <a:srgbClr val="000000"/>
              </a:solidFill>
              <a:prstDash val="solid"/>
            </a:ln>
          </c:spPr>
          <c:invertIfNegative val="false"/>
          <c:dLbls>
            <c:delete val="true"/>
          </c:dLbls>
          <c:cat>
            <c:strRef>
              <c:f>Sheet1!$B$1:$B$1</c:f>
              <c:strCache>
                <c:ptCount val="1"/>
                <c:pt idx="0">
                  <c:v>一般公共预算财政拨款支出（万元）</c:v>
                </c:pt>
              </c:strCache>
            </c:strRef>
          </c:cat>
          <c:val>
            <c:numRef>
              <c:f>Sheet1!$B$2:$B$2</c:f>
              <c:numCache>
                <c:formatCode>General</c:formatCode>
                <c:ptCount val="1"/>
                <c:pt idx="0">
                  <c:v>768.2</c:v>
                </c:pt>
              </c:numCache>
            </c:numRef>
          </c:val>
        </c:ser>
        <c:ser>
          <c:idx val="1"/>
          <c:order val="1"/>
          <c:tx>
            <c:strRef>
              <c:f>Sheet1!$A$3</c:f>
              <c:strCache>
                <c:ptCount val="1"/>
                <c:pt idx="0">
                  <c:v>2023年</c:v>
                </c:pt>
              </c:strCache>
            </c:strRef>
          </c:tx>
          <c:spPr>
            <a:solidFill>
              <a:srgbClr val="993366"/>
            </a:solidFill>
            <a:ln w="12700">
              <a:solidFill>
                <a:srgbClr val="000000"/>
              </a:solidFill>
              <a:prstDash val="solid"/>
            </a:ln>
          </c:spPr>
          <c:invertIfNegative val="false"/>
          <c:dLbls>
            <c:delete val="true"/>
          </c:dLbls>
          <c:cat>
            <c:strRef>
              <c:f>Sheet1!$B$1:$B$1</c:f>
              <c:strCache>
                <c:ptCount val="1"/>
                <c:pt idx="0">
                  <c:v>一般公共预算财政拨款支出（万元）</c:v>
                </c:pt>
              </c:strCache>
            </c:strRef>
          </c:cat>
          <c:val>
            <c:numRef>
              <c:f>Sheet1!$B$3:$B$3</c:f>
              <c:numCache>
                <c:formatCode>General</c:formatCode>
                <c:ptCount val="1"/>
                <c:pt idx="0">
                  <c:v>777.09</c:v>
                </c:pt>
              </c:numCache>
            </c:numRef>
          </c:val>
        </c:ser>
        <c:dLbls>
          <c:showLegendKey val="false"/>
          <c:showVal val="false"/>
          <c:showCatName val="false"/>
          <c:showSerName val="false"/>
          <c:showPercent val="false"/>
          <c:showBubbleSize val="false"/>
        </c:dLbls>
        <c:gapWidth val="150"/>
        <c:axId val="225428608"/>
        <c:axId val="261918720"/>
      </c:barChart>
      <c:catAx>
        <c:axId val="225428608"/>
        <c:scaling>
          <c:orientation val="minMax"/>
        </c:scaling>
        <c:delete val="false"/>
        <c:axPos val="b"/>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200" b="0" i="0" u="none" strike="noStrike" kern="1200" baseline="0">
                <a:solidFill>
                  <a:srgbClr val="000000"/>
                </a:solidFill>
                <a:latin typeface="宋体" charset="-122"/>
                <a:ea typeface="宋体" charset="-122"/>
                <a:cs typeface="宋体" charset="-122"/>
              </a:defRPr>
            </a:pPr>
          </a:p>
        </c:txPr>
        <c:crossAx val="261918720"/>
        <c:crosses val="autoZero"/>
        <c:auto val="true"/>
        <c:lblAlgn val="ctr"/>
        <c:lblOffset val="100"/>
        <c:tickLblSkip val="1"/>
        <c:noMultiLvlLbl val="false"/>
      </c:catAx>
      <c:valAx>
        <c:axId val="261918720"/>
        <c:scaling>
          <c:orientation val="minMax"/>
        </c:scaling>
        <c:delete val="false"/>
        <c:axPos val="l"/>
        <c:majorGridlines>
          <c:spPr>
            <a:ln w="3175" cap="flat" cmpd="sng" algn="ctr">
              <a:solidFill>
                <a:srgbClr val="000000"/>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true"/>
          <a:lstStyle/>
          <a:p>
            <a:pPr>
              <a:defRPr lang="zh-CN" sz="1650" b="0" i="0" u="none" strike="noStrike" kern="1200" baseline="0">
                <a:solidFill>
                  <a:srgbClr val="000000"/>
                </a:solidFill>
                <a:latin typeface="宋体" charset="-122"/>
                <a:ea typeface="宋体" charset="-122"/>
                <a:cs typeface="宋体" charset="-122"/>
              </a:defRPr>
            </a:pPr>
          </a:p>
        </c:txPr>
        <c:crossAx val="225428608"/>
        <c:crosses val="autoZero"/>
        <c:crossBetween val="between"/>
      </c:valAx>
      <c:spPr>
        <a:solidFill>
          <a:srgbClr val="C0C0C0"/>
        </a:solidFill>
        <a:ln w="12700">
          <a:solidFill>
            <a:srgbClr val="808080"/>
          </a:solidFill>
          <a:prstDash val="solid"/>
        </a:ln>
      </c:spPr>
    </c:plotArea>
    <c:legend>
      <c:legendPos val="r"/>
      <c:layout>
        <c:manualLayout>
          <c:xMode val="edge"/>
          <c:yMode val="edge"/>
          <c:x val="0.820011076597079"/>
          <c:y val="0.257080661893507"/>
          <c:w val="0.168182812010884"/>
          <c:h val="0.292476748098795"/>
        </c:manualLayout>
      </c:layout>
      <c:overlay val="false"/>
      <c:spPr>
        <a:noFill/>
        <a:ln w="3175">
          <a:solidFill>
            <a:srgbClr val="000000"/>
          </a:solidFill>
          <a:prstDash val="solid"/>
        </a:ln>
      </c:spPr>
      <c:txPr>
        <a:bodyPr rot="0" spcFirstLastPara="0" vertOverflow="ellipsis" vert="horz" wrap="square" anchor="ctr" anchorCtr="true"/>
        <a:lstStyle/>
        <a:p>
          <a:pPr>
            <a:defRPr lang="zh-CN" sz="1515"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89404234382186"/>
          <c:y val="0.0378854625550662"/>
          <c:w val="0.264670658682635"/>
          <c:h val="0.876211453744494"/>
        </c:manualLayout>
      </c:layout>
      <c:pieChart>
        <c:varyColors val="true"/>
        <c:ser>
          <c:idx val="0"/>
          <c:order val="0"/>
          <c:tx>
            <c:strRef>
              <c:f>Sheet1!$A$2</c:f>
              <c:strCache>
                <c:ptCount val="1"/>
                <c:pt idx="0">
                  <c:v>2024年</c:v>
                </c:pt>
              </c:strCache>
            </c:strRef>
          </c:tx>
          <c:spPr>
            <a:solidFill>
              <a:srgbClr val="9999FF"/>
            </a:solidFill>
            <a:ln w="12686">
              <a:solidFill>
                <a:srgbClr val="000000"/>
              </a:solidFill>
              <a:prstDash val="solid"/>
            </a:ln>
          </c:spPr>
          <c:explosion val="0"/>
          <c:dPt>
            <c:idx val="0"/>
            <c:bubble3D val="false"/>
            <c:spPr>
              <a:solidFill>
                <a:srgbClr val="9999FF"/>
              </a:solidFill>
              <a:ln w="12686">
                <a:solidFill>
                  <a:srgbClr val="000000"/>
                </a:solidFill>
                <a:prstDash val="solid"/>
              </a:ln>
            </c:spPr>
          </c:dPt>
          <c:dPt>
            <c:idx val="1"/>
            <c:bubble3D val="false"/>
            <c:spPr>
              <a:solidFill>
                <a:srgbClr val="002060"/>
              </a:solidFill>
              <a:ln w="12686">
                <a:solidFill>
                  <a:srgbClr val="000000"/>
                </a:solidFill>
                <a:prstDash val="solid"/>
              </a:ln>
            </c:spPr>
          </c:dPt>
          <c:dPt>
            <c:idx val="2"/>
            <c:bubble3D val="false"/>
            <c:spPr>
              <a:solidFill>
                <a:srgbClr val="FFFFCC"/>
              </a:solidFill>
              <a:ln w="12686">
                <a:solidFill>
                  <a:srgbClr val="000000"/>
                </a:solidFill>
                <a:prstDash val="solid"/>
              </a:ln>
            </c:spPr>
          </c:dPt>
          <c:dPt>
            <c:idx val="3"/>
            <c:bubble3D val="false"/>
            <c:spPr>
              <a:solidFill>
                <a:schemeClr val="accent2">
                  <a:lumMod val="75000"/>
                </a:schemeClr>
              </a:solidFill>
              <a:ln w="12686">
                <a:solidFill>
                  <a:srgbClr val="000000"/>
                </a:solidFill>
                <a:prstDash val="solid"/>
              </a:ln>
            </c:spPr>
          </c:dPt>
          <c:dPt>
            <c:idx val="4"/>
            <c:bubble3D val="false"/>
            <c:spPr>
              <a:solidFill>
                <a:srgbClr val="9999FF"/>
              </a:solidFill>
              <a:ln w="12686">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Sheet1!$B$1:$F$1</c:f>
              <c:strCache>
                <c:ptCount val="5"/>
                <c:pt idx="0">
                  <c:v>一般公共服务支出（万元）</c:v>
                </c:pt>
                <c:pt idx="1">
                  <c:v>社会保障和就业支出（万元）</c:v>
                </c:pt>
                <c:pt idx="2">
                  <c:v>卫生健康支出（万元）</c:v>
                </c:pt>
                <c:pt idx="3">
                  <c:v>农林水支出（万元）</c:v>
                </c:pt>
                <c:pt idx="4">
                  <c:v>住房保障支出（万元）</c:v>
                </c:pt>
              </c:strCache>
            </c:strRef>
          </c:cat>
          <c:val>
            <c:numRef>
              <c:f>Sheet1!$B$2:$F$2</c:f>
              <c:numCache>
                <c:formatCode>General</c:formatCode>
                <c:ptCount val="5"/>
                <c:pt idx="0">
                  <c:v>516.64</c:v>
                </c:pt>
                <c:pt idx="1">
                  <c:v>141.01</c:v>
                </c:pt>
                <c:pt idx="2">
                  <c:v>26.68</c:v>
                </c:pt>
                <c:pt idx="3">
                  <c:v>50.26</c:v>
                </c:pt>
                <c:pt idx="4">
                  <c:v>33.6</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686">
          <a:solidFill>
            <a:srgbClr val="808080"/>
          </a:solidFill>
          <a:prstDash val="solid"/>
        </a:ln>
      </c:spPr>
    </c:plotArea>
    <c:legend>
      <c:legendPos val="r"/>
      <c:layout>
        <c:manualLayout>
          <c:xMode val="edge"/>
          <c:yMode val="edge"/>
          <c:x val="0.606963632588524"/>
          <c:y val="0.211355306250436"/>
          <c:w val="0.321660720553644"/>
          <c:h val="0.603752612271044"/>
        </c:manualLayout>
      </c:layout>
      <c:overlay val="false"/>
      <c:spPr>
        <a:noFill/>
        <a:ln w="3172">
          <a:solidFill>
            <a:srgbClr val="000000"/>
          </a:solidFill>
          <a:prstDash val="solid"/>
        </a:ln>
      </c:spPr>
      <c:txPr>
        <a:bodyPr rot="0" spcFirstLastPara="0" vertOverflow="ellipsis" vert="horz" wrap="square" anchor="ctr" anchorCtr="true"/>
        <a:lstStyle/>
        <a:p>
          <a:pPr>
            <a:defRPr lang="zh-CN" sz="735"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noFill/>
    <a:ln w="9525" cap="flat" cmpd="sng" algn="ctr">
      <a:noFill/>
      <a:prstDash val="solid"/>
      <a:round/>
    </a:ln>
  </c:spPr>
  <c:txPr>
    <a:bodyPr/>
    <a:lstStyle/>
    <a:p>
      <a:pPr>
        <a:defRPr lang="zh-CN" sz="8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34999083702497"/>
          <c:y val="0.1422797653649"/>
          <c:w val="0.269230115576341"/>
          <c:h val="0.694848596945516"/>
        </c:manualLayout>
      </c:layout>
      <c:pieChart>
        <c:varyColors val="true"/>
        <c:ser>
          <c:idx val="0"/>
          <c:order val="0"/>
          <c:tx>
            <c:strRef>
              <c:f>Sheet1!$A$2</c:f>
              <c:strCache>
                <c:ptCount val="1"/>
                <c:pt idx="0">
                  <c:v>2024年</c:v>
                </c:pt>
              </c:strCache>
            </c:strRef>
          </c:tx>
          <c:spPr>
            <a:solidFill>
              <a:srgbClr val="9999FF"/>
            </a:solidFill>
            <a:ln w="12700">
              <a:solidFill>
                <a:srgbClr val="000000"/>
              </a:solidFill>
              <a:prstDash val="solid"/>
            </a:ln>
          </c:spPr>
          <c:explosion val="0"/>
          <c:dPt>
            <c:idx val="0"/>
            <c:bubble3D val="false"/>
            <c:spPr>
              <a:solidFill>
                <a:srgbClr val="9999FF"/>
              </a:solidFill>
              <a:ln w="12700">
                <a:solidFill>
                  <a:srgbClr val="000000"/>
                </a:solidFill>
                <a:prstDash val="solid"/>
              </a:ln>
            </c:spPr>
          </c:dPt>
          <c:dPt>
            <c:idx val="1"/>
            <c:bubble3D val="false"/>
            <c:spPr>
              <a:solidFill>
                <a:srgbClr val="993366"/>
              </a:solidFill>
              <a:ln w="12700">
                <a:solidFill>
                  <a:srgbClr val="000000"/>
                </a:solidFill>
                <a:prstDash val="solid"/>
              </a:ln>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Sheet1!$B$1:$C$1</c:f>
              <c:strCache>
                <c:ptCount val="2"/>
                <c:pt idx="0">
                  <c:v>公务用车购置及运行维护费（万元）</c:v>
                </c:pt>
                <c:pt idx="1">
                  <c:v>公务接待费（万元）</c:v>
                </c:pt>
              </c:strCache>
            </c:strRef>
          </c:cat>
          <c:val>
            <c:numRef>
              <c:f>Sheet1!$B$2:$C$2</c:f>
              <c:numCache>
                <c:formatCode>General</c:formatCode>
                <c:ptCount val="2"/>
                <c:pt idx="0">
                  <c:v>5.365</c:v>
                </c:pt>
                <c:pt idx="1">
                  <c:v>0.713</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12700">
          <a:solidFill>
            <a:srgbClr val="808080"/>
          </a:solidFill>
          <a:prstDash val="solid"/>
        </a:ln>
      </c:spPr>
    </c:plotArea>
    <c:legend>
      <c:legendPos val="r"/>
      <c:layout>
        <c:manualLayout>
          <c:xMode val="edge"/>
          <c:yMode val="edge"/>
          <c:x val="0.617761364493977"/>
          <c:y val="0.170063153191302"/>
          <c:w val="0.346605016226007"/>
          <c:h val="0.36177816110169"/>
        </c:manualLayout>
      </c:layout>
      <c:overlay val="false"/>
      <c:spPr>
        <a:noFill/>
        <a:ln w="3175">
          <a:solidFill>
            <a:srgbClr val="000000"/>
          </a:solidFill>
          <a:prstDash val="solid"/>
        </a:ln>
      </c:spPr>
      <c:txPr>
        <a:bodyPr rot="0" spcFirstLastPara="0" vertOverflow="ellipsis" vert="horz" wrap="square" anchor="ctr" anchorCtr="true"/>
        <a:lstStyle/>
        <a:p>
          <a:pPr>
            <a:defRPr lang="zh-CN" sz="825"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noFill/>
    <a:ln w="9525" cap="flat" cmpd="sng" algn="ctr">
      <a:noFill/>
      <a:prstDash val="solid"/>
      <a:round/>
    </a:ln>
  </c:spPr>
  <c:txPr>
    <a:bodyPr/>
    <a:lstStyle/>
    <a:p>
      <a:pPr>
        <a:defRPr lang="zh-CN" sz="90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3294</Words>
  <Characters>18781</Characters>
  <Lines>156</Lines>
  <Paragraphs>44</Paragraphs>
  <TotalTime>3</TotalTime>
  <ScaleCrop>false</ScaleCrop>
  <LinksUpToDate>false</LinksUpToDate>
  <CharactersWithSpaces>22031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2025-09-15T17:24:46Z</dcterms:modified>
  <dc:title>四川省***</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0CBD1F8D72624BAE8F5333386F0E1A56_12</vt:lpwstr>
  </property>
</Properties>
</file>