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eastAsia="方正小标宋简体"/>
          <w:color w:val="000000"/>
          <w:sz w:val="72"/>
          <w:szCs w:val="72"/>
        </w:rPr>
      </w:pPr>
      <w:bookmarkStart w:id="0" w:name="_Toc15306267"/>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adjustRightInd w:val="0"/>
        <w:snapToGrid w:val="0"/>
        <w:spacing w:line="360" w:lineRule="auto"/>
        <w:jc w:val="center"/>
        <w:outlineLvl w:val="0"/>
        <w:rPr>
          <w:rFonts w:hint="eastAsia" w:ascii="方正小标宋_GBK" w:eastAsia="方正小标宋_GBK" w:cs="方正小标宋_GBK"/>
          <w:color w:val="000000"/>
          <w:sz w:val="72"/>
          <w:szCs w:val="72"/>
        </w:rPr>
      </w:pPr>
    </w:p>
    <w:p>
      <w:pPr>
        <w:keepNext w:val="0"/>
        <w:keepLines w:val="0"/>
        <w:pageBreakBefore w:val="0"/>
        <w:widowControl w:val="0"/>
        <w:kinsoku/>
        <w:wordWrap/>
        <w:overflowPunct/>
        <w:topLinePunct w:val="0"/>
        <w:autoSpaceDE/>
        <w:autoSpaceDN/>
        <w:bidi w:val="0"/>
        <w:adjustRightInd/>
        <w:snapToGrid/>
        <w:spacing w:after="312" w:afterLines="100"/>
        <w:jc w:val="center"/>
        <w:textAlignment w:val="auto"/>
        <w:outlineLvl w:val="9"/>
        <w:rPr>
          <w:rFonts w:hint="eastAsia" w:ascii="方正小标宋_GBK" w:eastAsia="方正小标宋_GBK" w:cs="方正小标宋_GBK"/>
          <w:sz w:val="72"/>
          <w:szCs w:val="72"/>
        </w:rPr>
      </w:pPr>
      <w:bookmarkStart w:id="1" w:name="_Toc15396475"/>
      <w:bookmarkStart w:id="2" w:name="_Toc77627328"/>
      <w:bookmarkStart w:id="3" w:name="_Toc15377193"/>
      <w:bookmarkStart w:id="4" w:name="_Toc15378441"/>
      <w:bookmarkStart w:id="5" w:name="_Toc77628793"/>
      <w:bookmarkStart w:id="6" w:name="_Toc17445"/>
      <w:bookmarkStart w:id="7" w:name="_Toc8412"/>
      <w:bookmarkStart w:id="8" w:name="_Toc15396597"/>
      <w:bookmarkStart w:id="9" w:name="_Toc15377425"/>
      <w:bookmarkStart w:id="10" w:name="_Toc11125"/>
      <w:bookmarkStart w:id="11" w:name="_Toc77628612"/>
      <w:r>
        <w:rPr>
          <w:rFonts w:hint="eastAsia" w:ascii="方正小标宋_GBK" w:eastAsia="方正小标宋_GBK" w:cs="方正小标宋_GBK"/>
          <w:sz w:val="72"/>
          <w:szCs w:val="72"/>
        </w:rPr>
        <w:t>2021年度</w:t>
      </w:r>
      <w:bookmarkEnd w:id="1"/>
      <w:bookmarkEnd w:id="2"/>
      <w:bookmarkEnd w:id="3"/>
      <w:bookmarkEnd w:id="4"/>
      <w:bookmarkEnd w:id="5"/>
      <w:bookmarkEnd w:id="6"/>
      <w:bookmarkEnd w:id="7"/>
      <w:bookmarkEnd w:id="8"/>
      <w:bookmarkEnd w:id="9"/>
      <w:bookmarkEnd w:id="10"/>
      <w:bookmarkEnd w:id="11"/>
      <w:bookmarkStart w:id="12" w:name="_Toc11520"/>
      <w:bookmarkStart w:id="13" w:name="_Toc15377426"/>
      <w:bookmarkStart w:id="14" w:name="_Toc18848"/>
      <w:bookmarkStart w:id="15" w:name="_Toc77628613"/>
      <w:bookmarkStart w:id="16" w:name="_Toc77627329"/>
      <w:bookmarkStart w:id="17" w:name="_Toc15377194"/>
      <w:bookmarkStart w:id="18" w:name="_Toc15378442"/>
      <w:bookmarkStart w:id="19" w:name="_Toc77628794"/>
      <w:bookmarkStart w:id="20" w:name="_Toc7793"/>
      <w:bookmarkStart w:id="21" w:name="_Toc15396598"/>
      <w:bookmarkStart w:id="22" w:name="_Toc15396476"/>
    </w:p>
    <w:p>
      <w:pPr>
        <w:keepNext w:val="0"/>
        <w:keepLines w:val="0"/>
        <w:pageBreakBefore w:val="0"/>
        <w:widowControl w:val="0"/>
        <w:kinsoku/>
        <w:wordWrap/>
        <w:overflowPunct/>
        <w:topLinePunct w:val="0"/>
        <w:autoSpaceDE/>
        <w:autoSpaceDN/>
        <w:bidi w:val="0"/>
        <w:adjustRightInd/>
        <w:snapToGrid/>
        <w:spacing w:after="312" w:afterLines="100"/>
        <w:jc w:val="center"/>
        <w:textAlignment w:val="auto"/>
        <w:outlineLvl w:val="9"/>
        <w:rPr>
          <w:rFonts w:hint="eastAsia" w:ascii="方正小标宋_GBK" w:eastAsia="方正小标宋_GBK" w:cs="方正小标宋_GBK"/>
          <w:sz w:val="72"/>
          <w:szCs w:val="72"/>
        </w:rPr>
      </w:pPr>
      <w:r>
        <w:rPr>
          <w:rFonts w:hint="eastAsia" w:ascii="方正小标宋_GBK" w:eastAsia="方正小标宋_GBK" w:cs="方正小标宋_GBK"/>
          <w:sz w:val="72"/>
          <w:szCs w:val="72"/>
        </w:rPr>
        <w:t>四川省</w:t>
      </w:r>
      <w:bookmarkEnd w:id="0"/>
      <w:bookmarkStart w:id="23" w:name="_Toc15306268"/>
      <w:r>
        <w:rPr>
          <w:rFonts w:hint="eastAsia" w:ascii="方正小标宋_GBK" w:eastAsia="方正小标宋_GBK" w:cs="方正小标宋_GBK"/>
          <w:sz w:val="72"/>
          <w:szCs w:val="72"/>
        </w:rPr>
        <w:t>攀枝花市民族宗教</w:t>
      </w:r>
    </w:p>
    <w:p>
      <w:pPr>
        <w:keepNext w:val="0"/>
        <w:keepLines w:val="0"/>
        <w:pageBreakBefore w:val="0"/>
        <w:widowControl w:val="0"/>
        <w:kinsoku/>
        <w:wordWrap/>
        <w:overflowPunct/>
        <w:topLinePunct w:val="0"/>
        <w:autoSpaceDE/>
        <w:autoSpaceDN/>
        <w:bidi w:val="0"/>
        <w:adjustRightInd/>
        <w:snapToGrid/>
        <w:spacing w:after="312" w:afterLines="100"/>
        <w:jc w:val="center"/>
        <w:textAlignment w:val="auto"/>
        <w:outlineLvl w:val="9"/>
        <w:rPr>
          <w:rFonts w:hint="eastAsia" w:ascii="方正小标宋_GBK" w:eastAsia="方正小标宋_GBK" w:cs="方正小标宋_GBK"/>
          <w:color w:val="000000"/>
          <w:szCs w:val="72"/>
        </w:rPr>
      </w:pPr>
      <w:r>
        <w:rPr>
          <w:rFonts w:hint="eastAsia" w:ascii="方正小标宋_GBK" w:eastAsia="方正小标宋_GBK" w:cs="方正小标宋_GBK"/>
          <w:sz w:val="72"/>
          <w:szCs w:val="72"/>
        </w:rPr>
        <w:t>事务委员会部门决算</w:t>
      </w:r>
      <w:bookmarkEnd w:id="12"/>
      <w:bookmarkEnd w:id="13"/>
      <w:bookmarkEnd w:id="14"/>
      <w:bookmarkEnd w:id="15"/>
      <w:bookmarkEnd w:id="16"/>
      <w:bookmarkEnd w:id="17"/>
      <w:bookmarkEnd w:id="18"/>
      <w:bookmarkEnd w:id="19"/>
      <w:bookmarkEnd w:id="20"/>
      <w:bookmarkEnd w:id="21"/>
      <w:bookmarkEnd w:id="22"/>
      <w:bookmarkEnd w:id="23"/>
    </w:p>
    <w:p>
      <w:pPr>
        <w:widowControl/>
        <w:jc w:val="center"/>
        <w:rPr>
          <w:rFonts w:ascii="黑体" w:eastAsia="黑体"/>
          <w:color w:val="000000"/>
          <w:sz w:val="48"/>
          <w:szCs w:val="48"/>
        </w:rPr>
      </w:pPr>
      <w:r>
        <w:rPr>
          <w:rFonts w:ascii="方正小标宋简体" w:eastAsia="方正小标宋简体"/>
          <w:color w:val="000000"/>
          <w:sz w:val="36"/>
          <w:szCs w:val="36"/>
        </w:rPr>
        <w:br w:type="page"/>
      </w:r>
      <w:r>
        <w:rPr>
          <w:rFonts w:hint="eastAsia" w:ascii="黑体" w:eastAsia="黑体"/>
          <w:color w:val="000000"/>
          <w:sz w:val="48"/>
          <w:szCs w:val="48"/>
        </w:rPr>
        <w:t>目录</w:t>
      </w:r>
    </w:p>
    <w:p>
      <w:pPr>
        <w:pStyle w:val="10"/>
      </w:pPr>
      <w:r>
        <w:rPr>
          <w:rFonts w:hint="eastAsia"/>
        </w:rPr>
        <w:t>公开时间：</w:t>
      </w:r>
      <w:r>
        <w:t>2021</w:t>
      </w:r>
      <w:r>
        <w:rPr>
          <w:rFonts w:hint="eastAsia"/>
        </w:rPr>
        <w:t>年9月13日</w:t>
      </w:r>
    </w:p>
    <w:p>
      <w:pPr>
        <w:pStyle w:val="10"/>
        <w:tabs>
          <w:tab w:val="right" w:leader="dot" w:pos="8306"/>
          <w:tab w:val="clear" w:pos="8296"/>
        </w:tabs>
      </w:pPr>
      <w:r>
        <w:rPr>
          <w:rFonts w:ascii="黑体" w:eastAsia="黑体"/>
          <w:color w:val="000000"/>
          <w:sz w:val="48"/>
          <w:szCs w:val="48"/>
        </w:rPr>
        <w:fldChar w:fldCharType="begin"/>
      </w:r>
      <w:r>
        <w:rPr>
          <w:rFonts w:ascii="黑体" w:eastAsia="黑体"/>
          <w:color w:val="000000"/>
          <w:sz w:val="48"/>
          <w:szCs w:val="48"/>
        </w:rPr>
        <w:instrText xml:space="preserve"> TOC \o "1-2" \h \z \u </w:instrText>
      </w:r>
      <w:r>
        <w:rPr>
          <w:rFonts w:ascii="黑体" w:eastAsia="黑体"/>
          <w:color w:val="000000"/>
          <w:sz w:val="48"/>
          <w:szCs w:val="48"/>
        </w:rPr>
        <w:fldChar w:fldCharType="separate"/>
      </w:r>
      <w:r>
        <w:rPr>
          <w:rFonts w:ascii="黑体" w:eastAsia="黑体"/>
          <w:szCs w:val="48"/>
        </w:rPr>
        <w:fldChar w:fldCharType="begin"/>
      </w:r>
      <w:r>
        <w:rPr>
          <w:rFonts w:ascii="黑体" w:eastAsia="黑体"/>
          <w:szCs w:val="48"/>
        </w:rPr>
        <w:instrText xml:space="preserve"> HYPERLINK \l _Toc24416 </w:instrText>
      </w:r>
      <w:r>
        <w:rPr>
          <w:rFonts w:ascii="黑体" w:eastAsia="黑体"/>
          <w:szCs w:val="48"/>
        </w:rPr>
        <w:fldChar w:fldCharType="separate"/>
      </w:r>
      <w:r>
        <w:rPr>
          <w:rFonts w:hint="eastAsia" w:ascii="黑体" w:eastAsia="黑体"/>
        </w:rPr>
        <w:t xml:space="preserve">第一部分 </w:t>
      </w:r>
      <w:r>
        <w:rPr>
          <w:rFonts w:hint="eastAsia" w:ascii="黑体" w:eastAsia="黑体"/>
          <w:bCs w:val="0"/>
        </w:rPr>
        <w:t>部门概况</w:t>
      </w:r>
      <w:r>
        <w:tab/>
      </w:r>
      <w:r>
        <w:fldChar w:fldCharType="begin"/>
      </w:r>
      <w:r>
        <w:instrText xml:space="preserve"> PAGEREF _Toc24416 </w:instrText>
      </w:r>
      <w:r>
        <w:fldChar w:fldCharType="separate"/>
      </w:r>
      <w:r>
        <w:t>4</w:t>
      </w:r>
      <w:r>
        <w:fldChar w:fldCharType="end"/>
      </w:r>
      <w:r>
        <w:rPr>
          <w:rFonts w:ascii="黑体" w:eastAsia="黑体"/>
          <w:color w:val="000000"/>
          <w:szCs w:val="48"/>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_Toc23464 </w:instrText>
      </w:r>
      <w:r>
        <w:rPr>
          <w:rFonts w:ascii="仿宋" w:eastAsia="仿宋"/>
        </w:rPr>
        <w:fldChar w:fldCharType="separate"/>
      </w:r>
      <w:r>
        <w:rPr>
          <w:rFonts w:hint="eastAsia"/>
        </w:rPr>
        <w:t>一、基本职能及主要工作</w:t>
      </w:r>
      <w:r>
        <w:tab/>
      </w:r>
      <w:r>
        <w:fldChar w:fldCharType="begin"/>
      </w:r>
      <w:r>
        <w:instrText xml:space="preserve"> PAGEREF _Toc23464 </w:instrText>
      </w:r>
      <w:r>
        <w:fldChar w:fldCharType="separate"/>
      </w:r>
      <w:r>
        <w:t>4</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_Toc24675 </w:instrText>
      </w:r>
      <w:r>
        <w:rPr>
          <w:rFonts w:ascii="仿宋" w:eastAsia="仿宋"/>
        </w:rPr>
        <w:fldChar w:fldCharType="separate"/>
      </w:r>
      <w:r>
        <w:rPr>
          <w:rFonts w:hint="eastAsia"/>
          <w:lang w:val="en-US" w:eastAsia="zh-CN"/>
        </w:rPr>
        <w:t>二、机构设置</w:t>
      </w:r>
      <w:r>
        <w:tab/>
      </w:r>
      <w:r>
        <w:fldChar w:fldCharType="begin"/>
      </w:r>
      <w:r>
        <w:instrText xml:space="preserve"> PAGEREF _Toc24675 </w:instrText>
      </w:r>
      <w:r>
        <w:fldChar w:fldCharType="separate"/>
      </w:r>
      <w:r>
        <w:t>8</w:t>
      </w:r>
      <w:r>
        <w:fldChar w:fldCharType="end"/>
      </w:r>
      <w:r>
        <w:rPr>
          <w:rFonts w:ascii="仿宋" w:eastAsia="仿宋"/>
          <w:color w:val="000000"/>
        </w:rPr>
        <w:fldChar w:fldCharType="end"/>
      </w:r>
    </w:p>
    <w:p>
      <w:pPr>
        <w:pStyle w:val="10"/>
        <w:tabs>
          <w:tab w:val="right" w:leader="dot" w:pos="8306"/>
          <w:tab w:val="clear" w:pos="8296"/>
        </w:tabs>
      </w:pPr>
      <w:r>
        <w:rPr>
          <w:rFonts w:ascii="仿宋" w:eastAsia="仿宋"/>
        </w:rPr>
        <w:fldChar w:fldCharType="begin"/>
      </w:r>
      <w:r>
        <w:rPr>
          <w:rFonts w:ascii="仿宋" w:eastAsia="仿宋"/>
        </w:rPr>
        <w:instrText xml:space="preserve"> HYPERLINK \l _Toc2283 </w:instrText>
      </w:r>
      <w:r>
        <w:rPr>
          <w:rFonts w:ascii="仿宋" w:eastAsia="仿宋"/>
        </w:rPr>
        <w:fldChar w:fldCharType="separate"/>
      </w:r>
      <w:r>
        <w:rPr>
          <w:rFonts w:hint="eastAsia" w:ascii="黑体" w:eastAsia="黑体"/>
        </w:rPr>
        <w:t>第二部分</w:t>
      </w:r>
      <w:r>
        <w:rPr>
          <w:rFonts w:hint="eastAsia" w:ascii="黑体" w:eastAsia="黑体"/>
          <w:bCs w:val="0"/>
        </w:rPr>
        <w:t>2021年度部门决算情况说明</w:t>
      </w:r>
      <w:r>
        <w:tab/>
      </w:r>
      <w:r>
        <w:fldChar w:fldCharType="begin"/>
      </w:r>
      <w:r>
        <w:instrText xml:space="preserve"> PAGEREF _Toc2283 </w:instrText>
      </w:r>
      <w:r>
        <w:fldChar w:fldCharType="separate"/>
      </w:r>
      <w:r>
        <w:t>9</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_Toc16598 </w:instrText>
      </w:r>
      <w:r>
        <w:rPr>
          <w:rFonts w:ascii="仿宋" w:eastAsia="仿宋"/>
        </w:rPr>
        <w:fldChar w:fldCharType="separate"/>
      </w:r>
      <w:r>
        <w:rPr>
          <w:rFonts w:hint="eastAsia" w:ascii="黑体" w:eastAsia="黑体"/>
          <w:szCs w:val="32"/>
        </w:rPr>
        <w:t>一、收入</w:t>
      </w:r>
      <w:r>
        <w:rPr>
          <w:rFonts w:hint="eastAsia" w:ascii="黑体" w:eastAsia="黑体"/>
        </w:rPr>
        <w:t>支出决算总体情况说明</w:t>
      </w:r>
      <w:r>
        <w:tab/>
      </w:r>
      <w:r>
        <w:fldChar w:fldCharType="begin"/>
      </w:r>
      <w:r>
        <w:instrText xml:space="preserve"> PAGEREF _Toc16598 </w:instrText>
      </w:r>
      <w:r>
        <w:fldChar w:fldCharType="separate"/>
      </w:r>
      <w:r>
        <w:t>9</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_Toc17278 </w:instrText>
      </w:r>
      <w:r>
        <w:rPr>
          <w:rFonts w:ascii="仿宋" w:eastAsia="仿宋"/>
        </w:rPr>
        <w:fldChar w:fldCharType="separate"/>
      </w:r>
      <w:r>
        <w:rPr>
          <w:rFonts w:hint="eastAsia" w:ascii="黑体" w:eastAsia="黑体"/>
        </w:rPr>
        <w:t>二、收入决算情况说明</w:t>
      </w:r>
      <w:r>
        <w:tab/>
      </w:r>
      <w:r>
        <w:fldChar w:fldCharType="begin"/>
      </w:r>
      <w:r>
        <w:instrText xml:space="preserve"> PAGEREF _Toc17278 </w:instrText>
      </w:r>
      <w:r>
        <w:fldChar w:fldCharType="separate"/>
      </w:r>
      <w:r>
        <w:t>9</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_Toc16257 </w:instrText>
      </w:r>
      <w:r>
        <w:rPr>
          <w:rFonts w:ascii="仿宋" w:eastAsia="仿宋"/>
        </w:rPr>
        <w:fldChar w:fldCharType="separate"/>
      </w:r>
      <w:r>
        <w:rPr>
          <w:rFonts w:hint="eastAsia" w:ascii="黑体" w:eastAsia="黑体"/>
          <w:szCs w:val="32"/>
        </w:rPr>
        <w:t>三、支出</w:t>
      </w:r>
      <w:r>
        <w:rPr>
          <w:rFonts w:hint="eastAsia" w:ascii="黑体" w:eastAsia="黑体"/>
        </w:rPr>
        <w:t>决算情况说明</w:t>
      </w:r>
      <w:r>
        <w:tab/>
      </w:r>
      <w:r>
        <w:fldChar w:fldCharType="begin"/>
      </w:r>
      <w:r>
        <w:instrText xml:space="preserve"> PAGEREF _Toc16257 </w:instrText>
      </w:r>
      <w:r>
        <w:fldChar w:fldCharType="separate"/>
      </w:r>
      <w:r>
        <w:t>10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_Toc30197 </w:instrText>
      </w:r>
      <w:r>
        <w:rPr>
          <w:rFonts w:ascii="仿宋" w:eastAsia="仿宋"/>
        </w:rPr>
        <w:fldChar w:fldCharType="separate"/>
      </w:r>
      <w:r>
        <w:rPr>
          <w:rFonts w:hint="eastAsia" w:ascii="黑体" w:eastAsia="黑体"/>
          <w:szCs w:val="32"/>
        </w:rPr>
        <w:t>四、财</w:t>
      </w:r>
      <w:r>
        <w:rPr>
          <w:rFonts w:hint="eastAsia" w:ascii="黑体" w:eastAsia="黑体"/>
        </w:rPr>
        <w:t>政拨款收入支出决算总体情况说明</w:t>
      </w:r>
      <w:r>
        <w:tab/>
      </w:r>
      <w:r>
        <w:fldChar w:fldCharType="begin"/>
      </w:r>
      <w:r>
        <w:instrText xml:space="preserve"> PAGEREF _Toc30197 </w:instrText>
      </w:r>
      <w:r>
        <w:fldChar w:fldCharType="separate"/>
      </w:r>
      <w:r>
        <w:t>10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_Toc28620 </w:instrText>
      </w:r>
      <w:r>
        <w:rPr>
          <w:rFonts w:ascii="仿宋" w:eastAsia="仿宋"/>
        </w:rPr>
        <w:fldChar w:fldCharType="separate"/>
      </w:r>
      <w:r>
        <w:rPr>
          <w:rFonts w:hint="eastAsia" w:ascii="黑体" w:eastAsia="黑体"/>
          <w:szCs w:val="32"/>
        </w:rPr>
        <w:t>五、一</w:t>
      </w:r>
      <w:r>
        <w:rPr>
          <w:rFonts w:hint="eastAsia" w:ascii="黑体" w:eastAsia="黑体"/>
        </w:rPr>
        <w:t>般公共预算财政拨款支出决算情况说明</w:t>
      </w:r>
      <w:r>
        <w:tab/>
      </w:r>
      <w:r>
        <w:fldChar w:fldCharType="begin"/>
      </w:r>
      <w:r>
        <w:instrText xml:space="preserve"> PAGEREF _Toc28620 </w:instrText>
      </w:r>
      <w:r>
        <w:fldChar w:fldCharType="separate"/>
      </w:r>
      <w:r>
        <w:t>11</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_Toc5283 </w:instrText>
      </w:r>
      <w:r>
        <w:rPr>
          <w:rFonts w:ascii="仿宋" w:eastAsia="仿宋"/>
        </w:rPr>
        <w:fldChar w:fldCharType="separate"/>
      </w:r>
      <w:r>
        <w:rPr>
          <w:rFonts w:hint="eastAsia" w:ascii="黑体" w:eastAsia="黑体"/>
          <w:szCs w:val="32"/>
        </w:rPr>
        <w:t>六、一</w:t>
      </w:r>
      <w:r>
        <w:rPr>
          <w:rFonts w:hint="eastAsia" w:ascii="黑体" w:eastAsia="黑体"/>
        </w:rPr>
        <w:t>般公共预算财政拨款基本支出决算情况说明</w:t>
      </w:r>
      <w:r>
        <w:tab/>
      </w:r>
      <w:r>
        <w:fldChar w:fldCharType="begin"/>
      </w:r>
      <w:r>
        <w:instrText xml:space="preserve"> PAGEREF _Toc5283 </w:instrText>
      </w:r>
      <w:r>
        <w:fldChar w:fldCharType="separate"/>
      </w:r>
      <w:r>
        <w:t>13</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_Toc28988 </w:instrText>
      </w:r>
      <w:r>
        <w:rPr>
          <w:rFonts w:ascii="仿宋" w:eastAsia="仿宋"/>
        </w:rPr>
        <w:fldChar w:fldCharType="separate"/>
      </w:r>
      <w:r>
        <w:rPr>
          <w:rFonts w:hint="eastAsia" w:ascii="黑体" w:eastAsia="黑体"/>
          <w:szCs w:val="32"/>
        </w:rPr>
        <w:t>七、</w:t>
      </w:r>
      <w:r>
        <w:rPr>
          <w:rFonts w:hint="eastAsia" w:ascii="黑体" w:eastAsia="黑体"/>
        </w:rPr>
        <w:t>“三公”经费财政拨款支出决算情况说明</w:t>
      </w:r>
      <w:r>
        <w:tab/>
      </w:r>
      <w:r>
        <w:fldChar w:fldCharType="begin"/>
      </w:r>
      <w:r>
        <w:instrText xml:space="preserve"> PAGEREF _Toc28988 </w:instrText>
      </w:r>
      <w:r>
        <w:fldChar w:fldCharType="separate"/>
      </w:r>
      <w:r>
        <w:t>13</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_Toc13187 </w:instrText>
      </w:r>
      <w:r>
        <w:rPr>
          <w:rFonts w:ascii="仿宋" w:eastAsia="仿宋"/>
        </w:rPr>
        <w:fldChar w:fldCharType="separate"/>
      </w:r>
      <w:r>
        <w:rPr>
          <w:rFonts w:hint="eastAsia" w:ascii="黑体" w:eastAsia="黑体"/>
          <w:szCs w:val="32"/>
        </w:rPr>
        <w:t>八、</w:t>
      </w:r>
      <w:r>
        <w:rPr>
          <w:rFonts w:hint="eastAsia" w:ascii="黑体" w:eastAsia="黑体"/>
        </w:rPr>
        <w:t>政府性基金预算支出决算情况说明</w:t>
      </w:r>
      <w:r>
        <w:tab/>
      </w:r>
      <w:r>
        <w:fldChar w:fldCharType="begin"/>
      </w:r>
      <w:r>
        <w:instrText xml:space="preserve"> PAGEREF _Toc13187 </w:instrText>
      </w:r>
      <w:r>
        <w:fldChar w:fldCharType="separate"/>
      </w:r>
      <w:r>
        <w:t>15</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_Toc30762 </w:instrText>
      </w:r>
      <w:r>
        <w:rPr>
          <w:rFonts w:ascii="仿宋" w:eastAsia="仿宋"/>
        </w:rPr>
        <w:fldChar w:fldCharType="separate"/>
      </w:r>
      <w:r>
        <w:rPr>
          <w:rFonts w:hint="eastAsia" w:ascii="黑体" w:eastAsia="黑体"/>
        </w:rPr>
        <w:t>九、 国有资本经营预算支出决算情况说明</w:t>
      </w:r>
      <w:r>
        <w:tab/>
      </w:r>
      <w:r>
        <w:fldChar w:fldCharType="begin"/>
      </w:r>
      <w:r>
        <w:instrText xml:space="preserve"> PAGEREF _Toc30762 </w:instrText>
      </w:r>
      <w:r>
        <w:fldChar w:fldCharType="separate"/>
      </w:r>
      <w:r>
        <w:t>16</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_Toc3249 </w:instrText>
      </w:r>
      <w:r>
        <w:rPr>
          <w:rFonts w:ascii="仿宋" w:eastAsia="仿宋"/>
        </w:rPr>
        <w:fldChar w:fldCharType="separate"/>
      </w:r>
      <w:r>
        <w:rPr>
          <w:rFonts w:hint="eastAsia" w:ascii="黑体" w:eastAsia="黑体"/>
        </w:rPr>
        <w:t>十、 其他重要事项的情况说明</w:t>
      </w:r>
      <w:r>
        <w:tab/>
      </w:r>
      <w:r>
        <w:fldChar w:fldCharType="begin"/>
      </w:r>
      <w:r>
        <w:instrText xml:space="preserve"> PAGEREF _Toc3249 </w:instrText>
      </w:r>
      <w:r>
        <w:fldChar w:fldCharType="separate"/>
      </w:r>
      <w:r>
        <w:t>16</w:t>
      </w:r>
      <w:r>
        <w:fldChar w:fldCharType="end"/>
      </w:r>
      <w:r>
        <w:rPr>
          <w:rFonts w:ascii="仿宋" w:eastAsia="仿宋"/>
          <w:color w:val="000000"/>
        </w:rPr>
        <w:fldChar w:fldCharType="end"/>
      </w:r>
    </w:p>
    <w:p>
      <w:pPr>
        <w:pStyle w:val="10"/>
        <w:tabs>
          <w:tab w:val="right" w:leader="dot" w:pos="8306"/>
          <w:tab w:val="clear" w:pos="8296"/>
        </w:tabs>
      </w:pPr>
      <w:r>
        <w:rPr>
          <w:rFonts w:ascii="仿宋" w:eastAsia="仿宋"/>
        </w:rPr>
        <w:fldChar w:fldCharType="begin"/>
      </w:r>
      <w:r>
        <w:rPr>
          <w:rFonts w:ascii="仿宋" w:eastAsia="仿宋"/>
        </w:rPr>
        <w:instrText xml:space="preserve"> HYPERLINK \l _Toc22747 </w:instrText>
      </w:r>
      <w:r>
        <w:rPr>
          <w:rFonts w:ascii="仿宋" w:eastAsia="仿宋"/>
        </w:rPr>
        <w:fldChar w:fldCharType="separate"/>
      </w:r>
      <w:r>
        <w:rPr>
          <w:rFonts w:hint="eastAsia" w:ascii="黑体" w:eastAsia="黑体"/>
        </w:rPr>
        <w:t>第三部分  名词解释</w:t>
      </w:r>
      <w:r>
        <w:tab/>
      </w:r>
      <w:r>
        <w:fldChar w:fldCharType="begin"/>
      </w:r>
      <w:r>
        <w:instrText xml:space="preserve"> PAGEREF _Toc22747 </w:instrText>
      </w:r>
      <w:r>
        <w:fldChar w:fldCharType="separate"/>
      </w:r>
      <w:r>
        <w:t>18</w:t>
      </w:r>
      <w:r>
        <w:fldChar w:fldCharType="end"/>
      </w:r>
      <w:r>
        <w:rPr>
          <w:rFonts w:ascii="仿宋" w:eastAsia="仿宋"/>
          <w:color w:val="000000"/>
        </w:rPr>
        <w:fldChar w:fldCharType="end"/>
      </w:r>
    </w:p>
    <w:p>
      <w:pPr>
        <w:pStyle w:val="10"/>
        <w:tabs>
          <w:tab w:val="right" w:leader="dot" w:pos="8306"/>
          <w:tab w:val="clear" w:pos="8296"/>
        </w:tabs>
      </w:pPr>
      <w:r>
        <w:rPr>
          <w:rFonts w:ascii="仿宋" w:eastAsia="仿宋"/>
        </w:rPr>
        <w:fldChar w:fldCharType="begin"/>
      </w:r>
      <w:r>
        <w:rPr>
          <w:rFonts w:ascii="仿宋" w:eastAsia="仿宋"/>
        </w:rPr>
        <w:instrText xml:space="preserve"> HYPERLINK \l _Toc907 </w:instrText>
      </w:r>
      <w:r>
        <w:rPr>
          <w:rFonts w:ascii="仿宋" w:eastAsia="仿宋"/>
        </w:rPr>
        <w:fldChar w:fldCharType="separate"/>
      </w:r>
      <w:r>
        <w:rPr>
          <w:rFonts w:hint="eastAsia" w:ascii="黑体" w:eastAsia="黑体"/>
          <w:szCs w:val="44"/>
        </w:rPr>
        <w:t>第</w:t>
      </w:r>
      <w:r>
        <w:rPr>
          <w:rFonts w:hint="eastAsia" w:ascii="黑体" w:eastAsia="黑体"/>
        </w:rPr>
        <w:t>四部分 附件</w:t>
      </w:r>
      <w:r>
        <w:tab/>
      </w:r>
      <w:r>
        <w:fldChar w:fldCharType="begin"/>
      </w:r>
      <w:r>
        <w:instrText xml:space="preserve"> PAGEREF _Toc907 </w:instrText>
      </w:r>
      <w:r>
        <w:fldChar w:fldCharType="separate"/>
      </w:r>
      <w:r>
        <w:t>21</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_Toc4254 </w:instrText>
      </w:r>
      <w:r>
        <w:rPr>
          <w:rFonts w:ascii="仿宋" w:eastAsia="仿宋"/>
        </w:rPr>
        <w:fldChar w:fldCharType="separate"/>
      </w:r>
      <w:r>
        <w:rPr>
          <w:rFonts w:hint="eastAsia"/>
        </w:rPr>
        <w:t>附件1</w:t>
      </w:r>
      <w:r>
        <w:tab/>
      </w:r>
      <w:r>
        <w:fldChar w:fldCharType="begin"/>
      </w:r>
      <w:r>
        <w:instrText xml:space="preserve"> PAGEREF _Toc4254 </w:instrText>
      </w:r>
      <w:r>
        <w:fldChar w:fldCharType="separate"/>
      </w:r>
      <w:r>
        <w:t>21</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_Toc20972 </w:instrText>
      </w:r>
      <w:r>
        <w:rPr>
          <w:rFonts w:ascii="仿宋" w:eastAsia="仿宋"/>
        </w:rPr>
        <w:fldChar w:fldCharType="separate"/>
      </w:r>
      <w:r>
        <w:rPr>
          <w:rFonts w:hint="eastAsia"/>
        </w:rPr>
        <w:t>附件2</w:t>
      </w:r>
      <w:r>
        <w:tab/>
      </w:r>
      <w:r>
        <w:fldChar w:fldCharType="begin"/>
      </w:r>
      <w:r>
        <w:instrText xml:space="preserve"> PAGEREF _Toc20972 </w:instrText>
      </w:r>
      <w:r>
        <w:fldChar w:fldCharType="separate"/>
      </w:r>
      <w:r>
        <w:t>26</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_Toc25761 </w:instrText>
      </w:r>
      <w:r>
        <w:rPr>
          <w:rFonts w:ascii="仿宋" w:eastAsia="仿宋"/>
        </w:rPr>
        <w:fldChar w:fldCharType="separate"/>
      </w:r>
      <w:r>
        <w:rPr>
          <w:rFonts w:hint="eastAsia"/>
          <w:lang w:val="en-US" w:eastAsia="zh-CN"/>
        </w:rPr>
        <w:t>附件3</w:t>
      </w:r>
      <w:r>
        <w:tab/>
      </w:r>
      <w:r>
        <w:fldChar w:fldCharType="begin"/>
      </w:r>
      <w:r>
        <w:instrText xml:space="preserve"> PAGEREF _Toc25761 </w:instrText>
      </w:r>
      <w:r>
        <w:fldChar w:fldCharType="separate"/>
      </w:r>
      <w:r>
        <w:t>41</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_Toc14363 </w:instrText>
      </w:r>
      <w:r>
        <w:rPr>
          <w:rFonts w:ascii="仿宋" w:eastAsia="仿宋"/>
        </w:rPr>
        <w:fldChar w:fldCharType="separate"/>
      </w:r>
      <w:r>
        <w:rPr>
          <w:rFonts w:hint="eastAsia"/>
          <w:lang w:val="en-US" w:eastAsia="zh-CN"/>
        </w:rPr>
        <w:t>附件4</w:t>
      </w:r>
      <w:r>
        <w:tab/>
      </w:r>
      <w:r>
        <w:fldChar w:fldCharType="begin"/>
      </w:r>
      <w:r>
        <w:instrText xml:space="preserve"> PAGEREF _Toc14363 </w:instrText>
      </w:r>
      <w:r>
        <w:fldChar w:fldCharType="separate"/>
      </w:r>
      <w:r>
        <w:t>77</w:t>
      </w:r>
      <w:r>
        <w:fldChar w:fldCharType="end"/>
      </w:r>
      <w:r>
        <w:rPr>
          <w:rFonts w:ascii="仿宋" w:eastAsia="仿宋"/>
          <w:color w:val="000000"/>
        </w:rPr>
        <w:fldChar w:fldCharType="end"/>
      </w:r>
    </w:p>
    <w:p>
      <w:pPr>
        <w:pStyle w:val="10"/>
        <w:tabs>
          <w:tab w:val="right" w:leader="dot" w:pos="8306"/>
          <w:tab w:val="clear" w:pos="8296"/>
        </w:tabs>
      </w:pPr>
      <w:r>
        <w:rPr>
          <w:rFonts w:ascii="仿宋" w:eastAsia="仿宋"/>
        </w:rPr>
        <w:fldChar w:fldCharType="begin"/>
      </w:r>
      <w:r>
        <w:rPr>
          <w:rFonts w:ascii="仿宋" w:eastAsia="仿宋"/>
        </w:rPr>
        <w:instrText xml:space="preserve"> HYPERLINK \l _Toc11410 </w:instrText>
      </w:r>
      <w:r>
        <w:rPr>
          <w:rFonts w:ascii="仿宋" w:eastAsia="仿宋"/>
        </w:rPr>
        <w:fldChar w:fldCharType="separate"/>
      </w:r>
      <w:r>
        <w:rPr>
          <w:rFonts w:hint="eastAsia" w:ascii="黑体" w:eastAsia="黑体"/>
          <w:szCs w:val="44"/>
        </w:rPr>
        <w:t>第</w:t>
      </w:r>
      <w:r>
        <w:rPr>
          <w:rFonts w:hint="eastAsia" w:ascii="黑体" w:eastAsia="黑体"/>
        </w:rPr>
        <w:t>五部分 附表</w:t>
      </w:r>
      <w:r>
        <w:tab/>
      </w:r>
      <w:r>
        <w:fldChar w:fldCharType="begin"/>
      </w:r>
      <w:r>
        <w:instrText xml:space="preserve"> PAGEREF _Toc11410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_Toc3434 </w:instrText>
      </w:r>
      <w:r>
        <w:rPr>
          <w:rFonts w:ascii="仿宋" w:eastAsia="仿宋"/>
        </w:rPr>
        <w:fldChar w:fldCharType="separate"/>
      </w:r>
      <w:r>
        <w:rPr>
          <w:rFonts w:hint="eastAsia" w:ascii="仿宋_GB2312" w:eastAsia="仿宋_GB2312" w:cs="仿宋_GB2312"/>
          <w:szCs w:val="30"/>
        </w:rPr>
        <w:t>一、收</w:t>
      </w:r>
      <w:r>
        <w:rPr>
          <w:rFonts w:hint="eastAsia" w:ascii="仿宋_GB2312" w:eastAsia="仿宋_GB2312" w:cs="仿宋_GB2312"/>
          <w:bCs w:val="0"/>
          <w:szCs w:val="30"/>
        </w:rPr>
        <w:t>入支出决算总表</w:t>
      </w:r>
      <w:r>
        <w:tab/>
      </w:r>
      <w:r>
        <w:fldChar w:fldCharType="begin"/>
      </w:r>
      <w:r>
        <w:instrText xml:space="preserve"> PAGEREF _Toc3434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_Toc20313 </w:instrText>
      </w:r>
      <w:r>
        <w:rPr>
          <w:rFonts w:ascii="仿宋" w:eastAsia="仿宋"/>
        </w:rPr>
        <w:fldChar w:fldCharType="separate"/>
      </w:r>
      <w:r>
        <w:rPr>
          <w:rFonts w:hint="eastAsia" w:ascii="仿宋_GB2312" w:eastAsia="仿宋_GB2312" w:cs="仿宋_GB2312"/>
          <w:szCs w:val="30"/>
        </w:rPr>
        <w:t>二、收</w:t>
      </w:r>
      <w:r>
        <w:rPr>
          <w:rFonts w:hint="eastAsia" w:ascii="仿宋_GB2312" w:eastAsia="仿宋_GB2312" w:cs="仿宋_GB2312"/>
          <w:bCs w:val="0"/>
          <w:szCs w:val="30"/>
        </w:rPr>
        <w:t>入决算表</w:t>
      </w:r>
      <w:r>
        <w:tab/>
      </w:r>
      <w:r>
        <w:fldChar w:fldCharType="begin"/>
      </w:r>
      <w:r>
        <w:instrText xml:space="preserve"> PAGEREF _Toc20313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_Toc16026 </w:instrText>
      </w:r>
      <w:r>
        <w:rPr>
          <w:rFonts w:ascii="仿宋" w:eastAsia="仿宋"/>
        </w:rPr>
        <w:fldChar w:fldCharType="separate"/>
      </w:r>
      <w:r>
        <w:rPr>
          <w:rFonts w:hint="eastAsia" w:ascii="仿宋_GB2312" w:eastAsia="仿宋_GB2312" w:cs="仿宋_GB2312"/>
          <w:bCs w:val="0"/>
          <w:szCs w:val="30"/>
        </w:rPr>
        <w:t>三、</w:t>
      </w:r>
      <w:r>
        <w:rPr>
          <w:rFonts w:hint="eastAsia" w:ascii="仿宋_GB2312" w:eastAsia="仿宋_GB2312" w:cs="仿宋_GB2312"/>
          <w:szCs w:val="30"/>
        </w:rPr>
        <w:t>支</w:t>
      </w:r>
      <w:r>
        <w:rPr>
          <w:rFonts w:hint="eastAsia" w:ascii="仿宋_GB2312" w:eastAsia="仿宋_GB2312" w:cs="仿宋_GB2312"/>
          <w:bCs w:val="0"/>
          <w:szCs w:val="30"/>
        </w:rPr>
        <w:t>出决算表</w:t>
      </w:r>
      <w:r>
        <w:tab/>
      </w:r>
      <w:r>
        <w:fldChar w:fldCharType="begin"/>
      </w:r>
      <w:r>
        <w:instrText xml:space="preserve"> PAGEREF _Toc16026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_Toc27228 </w:instrText>
      </w:r>
      <w:r>
        <w:rPr>
          <w:rFonts w:ascii="仿宋" w:eastAsia="仿宋"/>
        </w:rPr>
        <w:fldChar w:fldCharType="separate"/>
      </w:r>
      <w:r>
        <w:rPr>
          <w:rFonts w:hint="eastAsia" w:ascii="仿宋_GB2312" w:eastAsia="仿宋_GB2312" w:cs="仿宋_GB2312"/>
          <w:bCs w:val="0"/>
          <w:szCs w:val="30"/>
        </w:rPr>
        <w:t>四、</w:t>
      </w:r>
      <w:r>
        <w:rPr>
          <w:rFonts w:hint="eastAsia" w:ascii="仿宋_GB2312" w:eastAsia="仿宋_GB2312" w:cs="仿宋_GB2312"/>
          <w:szCs w:val="30"/>
        </w:rPr>
        <w:t>财</w:t>
      </w:r>
      <w:r>
        <w:rPr>
          <w:rFonts w:hint="eastAsia" w:ascii="仿宋_GB2312" w:eastAsia="仿宋_GB2312" w:cs="仿宋_GB2312"/>
          <w:bCs w:val="0"/>
          <w:szCs w:val="30"/>
        </w:rPr>
        <w:t>政拨款收入支出决算总表</w:t>
      </w:r>
      <w:r>
        <w:tab/>
      </w:r>
      <w:r>
        <w:fldChar w:fldCharType="begin"/>
      </w:r>
      <w:r>
        <w:instrText xml:space="preserve"> PAGEREF _Toc27228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_Toc28791 </w:instrText>
      </w:r>
      <w:r>
        <w:rPr>
          <w:rFonts w:ascii="仿宋" w:eastAsia="仿宋"/>
        </w:rPr>
        <w:fldChar w:fldCharType="separate"/>
      </w:r>
      <w:r>
        <w:rPr>
          <w:rFonts w:hint="eastAsia" w:ascii="仿宋_GB2312" w:eastAsia="仿宋_GB2312" w:cs="仿宋_GB2312"/>
          <w:bCs w:val="0"/>
          <w:szCs w:val="30"/>
        </w:rPr>
        <w:t>五、</w:t>
      </w:r>
      <w:r>
        <w:rPr>
          <w:rFonts w:hint="eastAsia" w:ascii="仿宋_GB2312" w:eastAsia="仿宋_GB2312" w:cs="仿宋_GB2312"/>
          <w:szCs w:val="30"/>
        </w:rPr>
        <w:t>财</w:t>
      </w:r>
      <w:r>
        <w:rPr>
          <w:rFonts w:hint="eastAsia" w:ascii="仿宋_GB2312" w:eastAsia="仿宋_GB2312" w:cs="仿宋_GB2312"/>
          <w:bCs w:val="0"/>
          <w:szCs w:val="30"/>
        </w:rPr>
        <w:t>政拨款支出决算明细表</w:t>
      </w:r>
      <w:r>
        <w:tab/>
      </w:r>
      <w:r>
        <w:fldChar w:fldCharType="begin"/>
      </w:r>
      <w:r>
        <w:instrText xml:space="preserve"> PAGEREF _Toc28791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_Toc8242 </w:instrText>
      </w:r>
      <w:r>
        <w:rPr>
          <w:rFonts w:ascii="仿宋" w:eastAsia="仿宋"/>
        </w:rPr>
        <w:fldChar w:fldCharType="separate"/>
      </w:r>
      <w:r>
        <w:rPr>
          <w:rFonts w:hint="eastAsia" w:ascii="仿宋_GB2312" w:eastAsia="仿宋_GB2312" w:cs="仿宋_GB2312"/>
          <w:bCs w:val="0"/>
          <w:szCs w:val="30"/>
        </w:rPr>
        <w:t>六、</w:t>
      </w:r>
      <w:r>
        <w:rPr>
          <w:rFonts w:hint="eastAsia" w:ascii="仿宋_GB2312" w:eastAsia="仿宋_GB2312" w:cs="仿宋_GB2312"/>
          <w:szCs w:val="30"/>
        </w:rPr>
        <w:t>一</w:t>
      </w:r>
      <w:r>
        <w:rPr>
          <w:rFonts w:hint="eastAsia" w:ascii="仿宋_GB2312" w:eastAsia="仿宋_GB2312" w:cs="仿宋_GB2312"/>
          <w:bCs w:val="0"/>
          <w:szCs w:val="30"/>
        </w:rPr>
        <w:t>般公共预算财政拨款支出决算表</w:t>
      </w:r>
      <w:r>
        <w:tab/>
      </w:r>
      <w:r>
        <w:fldChar w:fldCharType="begin"/>
      </w:r>
      <w:r>
        <w:instrText xml:space="preserve"> PAGEREF _Toc8242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_Toc28752 </w:instrText>
      </w:r>
      <w:r>
        <w:rPr>
          <w:rFonts w:ascii="仿宋" w:eastAsia="仿宋"/>
        </w:rPr>
        <w:fldChar w:fldCharType="separate"/>
      </w:r>
      <w:r>
        <w:rPr>
          <w:rFonts w:hint="eastAsia" w:ascii="仿宋_GB2312" w:eastAsia="仿宋_GB2312" w:cs="仿宋_GB2312"/>
          <w:bCs w:val="0"/>
          <w:szCs w:val="30"/>
        </w:rPr>
        <w:t>七、</w:t>
      </w:r>
      <w:r>
        <w:rPr>
          <w:rFonts w:hint="eastAsia" w:ascii="仿宋_GB2312" w:eastAsia="仿宋_GB2312" w:cs="仿宋_GB2312"/>
          <w:szCs w:val="30"/>
        </w:rPr>
        <w:t>一</w:t>
      </w:r>
      <w:r>
        <w:rPr>
          <w:rFonts w:hint="eastAsia" w:ascii="仿宋_GB2312" w:eastAsia="仿宋_GB2312" w:cs="仿宋_GB2312"/>
          <w:bCs w:val="0"/>
          <w:szCs w:val="30"/>
        </w:rPr>
        <w:t>般公共预算财政拨款支出决算明细表</w:t>
      </w:r>
      <w:r>
        <w:tab/>
      </w:r>
      <w:r>
        <w:fldChar w:fldCharType="begin"/>
      </w:r>
      <w:r>
        <w:instrText xml:space="preserve"> PAGEREF _Toc28752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_Toc12725 </w:instrText>
      </w:r>
      <w:r>
        <w:rPr>
          <w:rFonts w:ascii="仿宋" w:eastAsia="仿宋"/>
        </w:rPr>
        <w:fldChar w:fldCharType="separate"/>
      </w:r>
      <w:r>
        <w:rPr>
          <w:rFonts w:hint="eastAsia" w:ascii="仿宋_GB2312" w:eastAsia="仿宋_GB2312" w:cs="仿宋_GB2312"/>
          <w:bCs w:val="0"/>
          <w:szCs w:val="30"/>
        </w:rPr>
        <w:t>八、</w:t>
      </w:r>
      <w:r>
        <w:rPr>
          <w:rFonts w:hint="eastAsia" w:ascii="仿宋_GB2312" w:eastAsia="仿宋_GB2312" w:cs="仿宋_GB2312"/>
          <w:szCs w:val="30"/>
        </w:rPr>
        <w:t>一</w:t>
      </w:r>
      <w:r>
        <w:rPr>
          <w:rFonts w:hint="eastAsia" w:ascii="仿宋_GB2312" w:eastAsia="仿宋_GB2312" w:cs="仿宋_GB2312"/>
          <w:bCs w:val="0"/>
          <w:szCs w:val="30"/>
        </w:rPr>
        <w:t>般公共预算财政拨款基本支出决算表</w:t>
      </w:r>
      <w:r>
        <w:tab/>
      </w:r>
      <w:r>
        <w:fldChar w:fldCharType="begin"/>
      </w:r>
      <w:r>
        <w:instrText xml:space="preserve"> PAGEREF _Toc12725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_Toc10551 </w:instrText>
      </w:r>
      <w:r>
        <w:rPr>
          <w:rFonts w:ascii="仿宋" w:eastAsia="仿宋"/>
        </w:rPr>
        <w:fldChar w:fldCharType="separate"/>
      </w:r>
      <w:r>
        <w:rPr>
          <w:rFonts w:hint="eastAsia" w:ascii="仿宋_GB2312" w:eastAsia="仿宋_GB2312" w:cs="仿宋_GB2312"/>
          <w:bCs w:val="0"/>
          <w:szCs w:val="30"/>
        </w:rPr>
        <w:t>九、</w:t>
      </w:r>
      <w:r>
        <w:rPr>
          <w:rFonts w:hint="eastAsia" w:ascii="仿宋_GB2312" w:eastAsia="仿宋_GB2312" w:cs="仿宋_GB2312"/>
          <w:szCs w:val="30"/>
        </w:rPr>
        <w:t>一</w:t>
      </w:r>
      <w:r>
        <w:rPr>
          <w:rFonts w:hint="eastAsia" w:ascii="仿宋_GB2312" w:eastAsia="仿宋_GB2312" w:cs="仿宋_GB2312"/>
          <w:bCs w:val="0"/>
          <w:szCs w:val="30"/>
        </w:rPr>
        <w:t>般公共预算财政拨款项目支出决算表</w:t>
      </w:r>
      <w:r>
        <w:tab/>
      </w:r>
      <w:r>
        <w:fldChar w:fldCharType="begin"/>
      </w:r>
      <w:r>
        <w:instrText xml:space="preserve"> PAGEREF _Toc10551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_Toc23757 </w:instrText>
      </w:r>
      <w:r>
        <w:rPr>
          <w:rFonts w:ascii="仿宋" w:eastAsia="仿宋"/>
        </w:rPr>
        <w:fldChar w:fldCharType="separate"/>
      </w:r>
      <w:r>
        <w:rPr>
          <w:rFonts w:hint="eastAsia" w:ascii="仿宋_GB2312" w:eastAsia="仿宋_GB2312" w:cs="仿宋_GB2312"/>
          <w:bCs w:val="0"/>
          <w:szCs w:val="30"/>
        </w:rPr>
        <w:t>十、</w:t>
      </w:r>
      <w:r>
        <w:rPr>
          <w:rFonts w:hint="eastAsia" w:ascii="仿宋_GB2312" w:eastAsia="仿宋_GB2312" w:cs="仿宋_GB2312"/>
          <w:szCs w:val="30"/>
        </w:rPr>
        <w:t>一</w:t>
      </w:r>
      <w:r>
        <w:rPr>
          <w:rFonts w:hint="eastAsia" w:ascii="仿宋_GB2312" w:eastAsia="仿宋_GB2312" w:cs="仿宋_GB2312"/>
          <w:bCs w:val="0"/>
          <w:szCs w:val="30"/>
        </w:rPr>
        <w:t>般公共预算财政拨款“三公”经费支出决算表</w:t>
      </w:r>
      <w:r>
        <w:tab/>
      </w:r>
      <w:r>
        <w:fldChar w:fldCharType="begin"/>
      </w:r>
      <w:r>
        <w:instrText xml:space="preserve"> PAGEREF _Toc23757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_Toc19497 </w:instrText>
      </w:r>
      <w:r>
        <w:rPr>
          <w:rFonts w:ascii="仿宋" w:eastAsia="仿宋"/>
        </w:rPr>
        <w:fldChar w:fldCharType="separate"/>
      </w:r>
      <w:r>
        <w:rPr>
          <w:rFonts w:hint="eastAsia" w:ascii="仿宋_GB2312" w:eastAsia="仿宋_GB2312" w:cs="仿宋_GB2312"/>
          <w:bCs w:val="0"/>
          <w:szCs w:val="30"/>
        </w:rPr>
        <w:t>十一、</w:t>
      </w:r>
      <w:r>
        <w:rPr>
          <w:rFonts w:hint="eastAsia" w:ascii="仿宋_GB2312" w:eastAsia="仿宋_GB2312" w:cs="仿宋_GB2312"/>
          <w:szCs w:val="30"/>
        </w:rPr>
        <w:t>政</w:t>
      </w:r>
      <w:r>
        <w:rPr>
          <w:rFonts w:hint="eastAsia" w:ascii="仿宋_GB2312" w:eastAsia="仿宋_GB2312" w:cs="仿宋_GB2312"/>
          <w:bCs w:val="0"/>
          <w:szCs w:val="30"/>
        </w:rPr>
        <w:t>府性基金预算财政拨款收入支出决算表</w:t>
      </w:r>
      <w:r>
        <w:tab/>
      </w:r>
      <w:r>
        <w:fldChar w:fldCharType="begin"/>
      </w:r>
      <w:r>
        <w:instrText xml:space="preserve"> PAGEREF _Toc19497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_Toc5741 </w:instrText>
      </w:r>
      <w:r>
        <w:rPr>
          <w:rFonts w:ascii="仿宋" w:eastAsia="仿宋"/>
        </w:rPr>
        <w:fldChar w:fldCharType="separate"/>
      </w:r>
      <w:r>
        <w:rPr>
          <w:rFonts w:hint="eastAsia" w:ascii="仿宋_GB2312" w:eastAsia="仿宋_GB2312" w:cs="仿宋_GB2312"/>
          <w:bCs w:val="0"/>
          <w:szCs w:val="30"/>
        </w:rPr>
        <w:t>十二、</w:t>
      </w:r>
      <w:r>
        <w:rPr>
          <w:rFonts w:hint="eastAsia" w:ascii="仿宋_GB2312" w:eastAsia="仿宋_GB2312" w:cs="仿宋_GB2312"/>
          <w:szCs w:val="30"/>
        </w:rPr>
        <w:t>政</w:t>
      </w:r>
      <w:r>
        <w:rPr>
          <w:rFonts w:hint="eastAsia" w:ascii="仿宋_GB2312" w:eastAsia="仿宋_GB2312" w:cs="仿宋_GB2312"/>
          <w:bCs w:val="0"/>
          <w:szCs w:val="30"/>
        </w:rPr>
        <w:t>府性基金预算财政拨款“三公”经费支出决算表</w:t>
      </w:r>
      <w:r>
        <w:rPr>
          <w:rFonts w:hint="eastAsia" w:ascii="仿宋_GB2312" w:eastAsia="仿宋_GB2312" w:cs="仿宋_GB2312"/>
          <w:szCs w:val="30"/>
        </w:rPr>
        <w:t>（此表无数据）</w:t>
      </w:r>
      <w:r>
        <w:tab/>
      </w:r>
      <w:r>
        <w:fldChar w:fldCharType="begin"/>
      </w:r>
      <w:r>
        <w:instrText xml:space="preserve"> PAGEREF _Toc5741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_Toc2701 </w:instrText>
      </w:r>
      <w:r>
        <w:rPr>
          <w:rFonts w:ascii="仿宋" w:eastAsia="仿宋"/>
        </w:rPr>
        <w:fldChar w:fldCharType="separate"/>
      </w:r>
      <w:r>
        <w:rPr>
          <w:rFonts w:hint="eastAsia" w:ascii="仿宋_GB2312" w:eastAsia="仿宋_GB2312" w:cs="仿宋_GB2312"/>
          <w:bCs w:val="0"/>
          <w:szCs w:val="30"/>
        </w:rPr>
        <w:t>十三、</w:t>
      </w:r>
      <w:r>
        <w:rPr>
          <w:rFonts w:hint="eastAsia" w:ascii="仿宋_GB2312" w:eastAsia="仿宋_GB2312" w:cs="仿宋_GB2312"/>
          <w:szCs w:val="30"/>
        </w:rPr>
        <w:t>国有资本经营预算财政拨款收入支出决算表（此表无数据）</w:t>
      </w:r>
      <w:r>
        <w:tab/>
      </w:r>
      <w:r>
        <w:fldChar w:fldCharType="begin"/>
      </w:r>
      <w:r>
        <w:instrText xml:space="preserve"> PAGEREF _Toc2701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_Toc8597 </w:instrText>
      </w:r>
      <w:r>
        <w:rPr>
          <w:rFonts w:ascii="仿宋" w:eastAsia="仿宋"/>
        </w:rPr>
        <w:fldChar w:fldCharType="separate"/>
      </w:r>
      <w:r>
        <w:rPr>
          <w:rFonts w:hint="eastAsia" w:ascii="仿宋_GB2312" w:eastAsia="仿宋_GB2312" w:cs="仿宋_GB2312"/>
          <w:bCs w:val="0"/>
          <w:szCs w:val="30"/>
        </w:rPr>
        <w:t>十四、</w:t>
      </w:r>
      <w:r>
        <w:rPr>
          <w:rFonts w:hint="eastAsia" w:ascii="仿宋_GB2312" w:eastAsia="仿宋_GB2312" w:cs="仿宋_GB2312"/>
          <w:szCs w:val="30"/>
        </w:rPr>
        <w:t>国有资本经营预算财政拨款支出决算表（此表无数据）</w:t>
      </w:r>
      <w:r>
        <w:tab/>
      </w:r>
      <w:r>
        <w:fldChar w:fldCharType="begin"/>
      </w:r>
      <w:r>
        <w:instrText xml:space="preserve"> PAGEREF _Toc8597 </w:instrText>
      </w:r>
      <w:r>
        <w:fldChar w:fldCharType="separate"/>
      </w:r>
      <w:r>
        <w:t>80</w:t>
      </w:r>
      <w:r>
        <w:fldChar w:fldCharType="end"/>
      </w:r>
      <w:r>
        <w:rPr>
          <w:rFonts w:ascii="仿宋" w:eastAsia="仿宋"/>
          <w:color w:val="000000"/>
        </w:rPr>
        <w:fldChar w:fldCharType="end"/>
      </w:r>
    </w:p>
    <w:p>
      <w:pPr>
        <w:widowControl/>
        <w:jc w:val="left"/>
        <w:rPr>
          <w:rFonts w:ascii="仿宋" w:eastAsia="仿宋"/>
          <w:color w:val="000000"/>
          <w:sz w:val="24"/>
        </w:rPr>
      </w:pPr>
      <w:r>
        <w:rPr>
          <w:rFonts w:ascii="仿宋" w:eastAsia="仿宋"/>
          <w:color w:val="000000"/>
        </w:rPr>
        <w:fldChar w:fldCharType="end"/>
      </w:r>
      <w:bookmarkStart w:id="24" w:name="_Toc15377196"/>
    </w:p>
    <w:p>
      <w:pPr>
        <w:rPr>
          <w:rFonts w:hint="eastAsia" w:ascii="黑体" w:eastAsia="黑体"/>
          <w:b w:val="0"/>
        </w:rPr>
      </w:pPr>
      <w:r>
        <w:rPr>
          <w:rFonts w:hint="eastAsia" w:ascii="黑体" w:eastAsia="黑体"/>
          <w:b w:val="0"/>
        </w:rPr>
        <w:br w:type="page"/>
      </w:r>
    </w:p>
    <w:p>
      <w:pPr>
        <w:pStyle w:val="2"/>
        <w:jc w:val="center"/>
        <w:rPr>
          <w:rStyle w:val="17"/>
          <w:rFonts w:ascii="黑体" w:eastAsia="黑体"/>
          <w:b/>
          <w:bCs w:val="0"/>
        </w:rPr>
      </w:pPr>
      <w:bookmarkStart w:id="25" w:name="_Toc24416"/>
      <w:r>
        <w:rPr>
          <w:rFonts w:hint="eastAsia" w:ascii="黑体" w:eastAsia="黑体"/>
          <w:b w:val="0"/>
        </w:rPr>
        <w:t xml:space="preserve">第一部分 </w:t>
      </w:r>
      <w:r>
        <w:rPr>
          <w:rStyle w:val="17"/>
          <w:rFonts w:hint="eastAsia" w:ascii="黑体" w:eastAsia="黑体"/>
          <w:b w:val="0"/>
          <w:bCs w:val="0"/>
        </w:rPr>
        <w:t>部门概况</w:t>
      </w:r>
      <w:bookmarkEnd w:id="24"/>
      <w:bookmarkEnd w:id="25"/>
    </w:p>
    <w:p>
      <w:pPr>
        <w:pStyle w:val="3"/>
        <w:bidi w:val="0"/>
      </w:pPr>
      <w:bookmarkStart w:id="26" w:name="_Toc23464"/>
      <w:bookmarkStart w:id="27" w:name="_Toc15377197"/>
      <w:r>
        <w:rPr>
          <w:rFonts w:hint="eastAsia"/>
        </w:rPr>
        <w:t>一、基本职能及主要工作</w:t>
      </w:r>
      <w:bookmarkEnd w:id="26"/>
      <w:bookmarkEnd w:id="27"/>
    </w:p>
    <w:p>
      <w:pPr>
        <w:pStyle w:val="5"/>
        <w:adjustRightInd w:val="0"/>
        <w:snapToGrid w:val="0"/>
        <w:spacing w:before="93" w:beforeLines="0" w:line="353" w:lineRule="auto"/>
        <w:ind w:firstLine="671" w:firstLineChars="209"/>
        <w:outlineLvl w:val="2"/>
        <w:rPr>
          <w:rFonts w:ascii="楷体" w:eastAsia="楷体"/>
          <w:b/>
          <w:bCs/>
          <w:color w:val="000000"/>
          <w:sz w:val="32"/>
          <w:szCs w:val="32"/>
        </w:rPr>
      </w:pPr>
      <w:bookmarkStart w:id="28" w:name="_Toc15378445"/>
      <w:bookmarkStart w:id="29" w:name="_Toc15377198"/>
      <w:r>
        <w:rPr>
          <w:rFonts w:hint="eastAsia" w:ascii="楷体" w:eastAsia="楷体"/>
          <w:b/>
          <w:bCs/>
          <w:color w:val="000000"/>
          <w:sz w:val="32"/>
          <w:szCs w:val="32"/>
        </w:rPr>
        <w:t>（一）主要职能。</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贯彻执行党和政府关于民族、宗教工作的法律法规和方针政策。处理民族关系中的重大事项。负责民族、宗教政策、法律、法规的宣传教育工作并监督实施。拟定民族地区经济社会发展规划。管理民族专项资金。研究少数民族和民族地区教育、文化、科技、卫生、体育、计划生育、新闻出版等方面的特殊问题。监督和办理少数民族权益保障事宜。依法保护公民宗教信仰自由和正常的宗教活动，维护宗教界合法权益，支持宗教团体加强自身建设。负责对宗教法律、法规和政策的贯彻实施进行监督管理；引导、促进宗教在法律、法规和政策范围内活动，防止和制止不法分子利用宗教进行非法、违法活动。负责组织实施安置凉山州自发迁居农民工作规划、管理，协助县（区）和相关部门处理好自发迁居农民的遗留问题，指导县区完成凉山州自发迁农民的安置发展工作。会同相关部门做好少数民族干部和民族工作干部的培养、教育和推荐使用工作。参与涉及民族、宗教事务的对外宣传工作。承担市政府公布的有关行政审批事项。</w:t>
      </w:r>
    </w:p>
    <w:bookmarkEnd w:id="28"/>
    <w:bookmarkEnd w:id="29"/>
    <w:p>
      <w:pPr>
        <w:pStyle w:val="5"/>
        <w:adjustRightInd w:val="0"/>
        <w:snapToGrid w:val="0"/>
        <w:spacing w:before="93" w:beforeLines="0" w:line="353" w:lineRule="auto"/>
        <w:ind w:firstLine="671" w:firstLineChars="209"/>
        <w:outlineLvl w:val="2"/>
        <w:rPr>
          <w:rFonts w:ascii="楷体" w:eastAsia="楷体"/>
          <w:b/>
          <w:bCs/>
          <w:color w:val="000000"/>
          <w:sz w:val="32"/>
          <w:szCs w:val="32"/>
        </w:rPr>
      </w:pPr>
      <w:bookmarkStart w:id="30" w:name="_Toc15378446"/>
      <w:bookmarkStart w:id="31" w:name="_Toc15377199"/>
      <w:r>
        <w:rPr>
          <w:rFonts w:hint="eastAsia" w:ascii="楷体" w:eastAsia="楷体"/>
          <w:b/>
          <w:bCs/>
          <w:color w:val="000000"/>
          <w:sz w:val="32"/>
          <w:szCs w:val="32"/>
        </w:rPr>
        <w:t>（二）</w:t>
      </w:r>
      <w:r>
        <w:rPr>
          <w:rFonts w:ascii="楷体" w:eastAsia="楷体"/>
          <w:b/>
          <w:bCs/>
          <w:color w:val="000000"/>
          <w:sz w:val="32"/>
          <w:szCs w:val="32"/>
        </w:rPr>
        <w:t>20</w:t>
      </w:r>
      <w:r>
        <w:rPr>
          <w:rFonts w:hint="eastAsia" w:ascii="楷体" w:eastAsia="楷体"/>
          <w:b/>
          <w:bCs/>
          <w:color w:val="000000"/>
          <w:sz w:val="32"/>
          <w:szCs w:val="32"/>
        </w:rPr>
        <w:t>21年重点工作完成情况。</w:t>
      </w:r>
      <w:bookmarkEnd w:id="30"/>
      <w:bookmarkEnd w:id="31"/>
    </w:p>
    <w:p>
      <w:pPr>
        <w:spacing w:line="353" w:lineRule="auto"/>
        <w:ind w:firstLine="640" w:firstLineChars="200"/>
        <w:rPr>
          <w:rFonts w:ascii="仿宋_GB2312" w:eastAsia="仿宋_GB2312" w:cs="仿宋_GB2312"/>
          <w:color w:val="000000"/>
          <w:sz w:val="32"/>
          <w:szCs w:val="32"/>
        </w:rPr>
      </w:pPr>
      <w:bookmarkStart w:id="32" w:name="_Toc15377200"/>
      <w:r>
        <w:rPr>
          <w:rFonts w:hint="eastAsia" w:ascii="仿宋_GB2312" w:eastAsia="仿宋_GB2312" w:cs="仿宋_GB2312"/>
          <w:color w:val="000000"/>
          <w:sz w:val="32"/>
          <w:szCs w:val="32"/>
        </w:rPr>
        <w:t>1.加强政治建设，认真贯彻中央和省委、市委重大决策部署。深入学习贯彻习近平新时代中国特色社会主义思想和党的十九大、十九届五中、六中全会精神，深刻学习领会习近平总书记关于加强和改进民族工作的重要思想、习近平总书记关于宗教工作重要论述及重要指示批示精神，提高政治站位，增强“四个意识”</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坚定“四个自信”</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做到“两个维护”，在思想上政治上行动上同以习近平同志为核心的党中央保持高度一致。扎实推进党史学习教育，深入开展“我为群众办实事”实践活动，解决群众反映的急难问题8件。坚决落实全面从严治党责任，完成省委巡视攀枝花反馈涉及宗教方面的问题整改，完成市委巡察“回头看”反馈的3项整改事项整改。扎实做好乡镇区划和村级建制调整改革“后半篇”文章相关工作，牵头草拟“民族地区免费中等职业教育覆盖范围”和“少数民族报考事业单位加分政策”两项政策调整方案。深入开展民族团结宣传教育，依法加强宗教及宗教思想传播管理，意识形态领域总体态势平稳可控。加强宗教活动场所及大型宗教活动安全管理，做好民族宗教领域矛盾纠纷隐患排查、舆情发现处置和涉外宗教活动管控，防范化解重大风险，保持民族宗教领域社会稳定。</w:t>
      </w:r>
    </w:p>
    <w:p>
      <w:pPr>
        <w:spacing w:line="353" w:lineRule="auto"/>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2.深入宣传发动，全力做好民族宗教领域疫情防控和森林草原防灭火工作。全面落实新型冠状肺炎疫情防控、森林草原防灭火工作部署。制作《新冠肺炎疫情防控“少数民族语言+汉语”宣传顺口溜》，利用微信群、网站等多渠道向民族地区推送，发放森林草原防灭火有关政策法规宣传资料5600余份，制作“少数民族语言+汉语”宣传标语100余条，加强民族宗教领域疫情防控和森林草原防灭火宣传。制定《攀枝花市宗教活动场所疫情防控督导检查工作方案》，采取“四不</w:t>
      </w:r>
      <w:r>
        <w:rPr>
          <w:rFonts w:ascii="仿宋_GB2312" w:eastAsia="仿宋_GB2312" w:cs="仿宋_GB2312"/>
          <w:color w:val="000000"/>
          <w:sz w:val="32"/>
          <w:szCs w:val="32"/>
        </w:rPr>
        <w:t>两</w:t>
      </w:r>
      <w:r>
        <w:rPr>
          <w:rFonts w:hint="eastAsia" w:ascii="仿宋_GB2312" w:eastAsia="仿宋_GB2312" w:cs="仿宋_GB2312"/>
          <w:color w:val="000000"/>
          <w:sz w:val="32"/>
          <w:szCs w:val="32"/>
        </w:rPr>
        <w:t>直”的方式做好宗教领域疫情防控检查。制定《集中整治宗教活动场所消防安全隐患助力森林防火安全实施方案》，开展宗教活动场所森林防火督导检查40余次，协调宗教活动场所建设微型消防站22个，组织应急演练10场次。民族地区、宗教领域未发生人员感染新冠肺炎情况和森林火灾事故。</w:t>
      </w:r>
    </w:p>
    <w:p>
      <w:pPr>
        <w:spacing w:line="353" w:lineRule="auto"/>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3.积极向上争取资金，加大民族地区发展投入。围绕巩固脱贫攻坚成果，推进民族地区乡村振兴战略，积极向上协调争取民族资金，加大民族地区发展投入。全年争取省级民族资金2283万元、安排市级资金300万元，实施产业道路硬化27.6千米；新建便民桥3座；架设各类管道78千米，修建和整治水池6320立方米、整治沟渠6500米；实施民族教育体育基础建设项目4个；实施村集体经济试点项目2个；实施民族团结示范村建设项目1个；实施民族团结进步示范点项目6个；开展民族地区实用技术培训和乡村振兴驻村第一书记培训、民族宗教干部培训2000人次，建立科技成果转换专家创新团队示范基地2个。切实解决了一批群众反映的急难问题，有力促进民族地区乡村振兴。</w:t>
      </w:r>
    </w:p>
    <w:p>
      <w:pPr>
        <w:spacing w:line="353" w:lineRule="auto"/>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4．深化民族团结进步创建，铸牢中华民族共同体意识。深入学习贯彻中央民族工作会议精神，制定《攀枝花市深入开展铸牢中华民族共同体意识大宣教工作的实施方案》《攀枝花市民族团结进步示范单位测评指标（试行）》，扎实推进中华民族共同体意识大宣教工作和民族团结进步创建示范县（区）、示范乡镇（街道）、示范村（社区）、示范单位创建工作，举办全市铸牢中华民族共同体意识业务骨干培训班，培训业务骨干54名。米易县入围第九批全国民族团结进步示范区拟命名名单，推荐西区清香坪街道等24个单位为第六批全省民族团结进步示范候选单位，东区东华街道等71家单位成功创建为第四批全市民族团结进步示范区示范单位。持续深化少数民族流动人口服务管理示范市建设，制定《攀枝花市城市民族工作指南（试行）》《攀枝花市社区民族工作指南（试行）》和《2021年新时代城市民族工作试点方案》，投资20万元开展5个新时代城市民族工作试点社区建设及3个流动人口服务网点改造升级。推动建立四川、云南毗邻地区六市（州）少数民族流动人口服务管理跨区域协作机制，不断加强和改进少数民族流动人口服务管理。</w:t>
      </w:r>
    </w:p>
    <w:p>
      <w:pPr>
        <w:spacing w:line="353" w:lineRule="auto"/>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5.依法管理宗教事务，巩固提升宗教督查整改成果。持续织密夯实宗教工作“三级网络”“两级责任制”，乡镇（街道）、村（社区）落实宗教工作分管领导、工作人员、网格员，明确工作职责和任务，健全主体在县、延伸到乡、落实到村、规范到点的宗教工作网格化管理体系。持续推动宗教活动场所规范化管理创建和“安全宗教活动场所”标准化建设工作，有10个宗教活动场所被命名为全市“安全宗教活动场所”和“管理规范化宗教活动场所”。扎实推进宗教领域突出问题治理成果巩固，建立已治理突出问题台账，将重点点位、人员纳入动态监管，适时开展“回头看”；做好东区、西区2处寺院骨灰存放设施专项治理“后半篇”文章；推动伊斯兰教领域专项治理工作，完成5处清真寺阿式风格建筑物整改；开展依法治理基督教领域非法活动专项行动，加强信息共享，强化联合执法，依法处置非法宗教活动，治理取缔了1处基督教私设聚会点，保持基督教非法活动点“清零”。</w:t>
      </w:r>
    </w:p>
    <w:p>
      <w:pPr>
        <w:pStyle w:val="3"/>
        <w:bidi w:val="0"/>
        <w:rPr>
          <w:rFonts w:hint="eastAsia"/>
          <w:lang w:val="en-US" w:eastAsia="zh-CN"/>
        </w:rPr>
      </w:pPr>
      <w:bookmarkStart w:id="33" w:name="_Toc24675"/>
      <w:r>
        <w:rPr>
          <w:rFonts w:hint="eastAsia"/>
          <w:lang w:val="en-US" w:eastAsia="zh-CN"/>
        </w:rPr>
        <w:t>二、机构设置</w:t>
      </w:r>
      <w:bookmarkEnd w:id="32"/>
      <w:bookmarkEnd w:id="33"/>
    </w:p>
    <w:p>
      <w:pPr>
        <w:spacing w:line="353" w:lineRule="auto"/>
        <w:ind w:firstLine="800" w:firstLineChars="250"/>
        <w:rPr>
          <w:rFonts w:ascii="仿宋" w:eastAsia="仿宋"/>
          <w:sz w:val="32"/>
          <w:szCs w:val="32"/>
        </w:rPr>
      </w:pPr>
      <w:r>
        <w:rPr>
          <w:rFonts w:hint="eastAsia" w:ascii="仿宋" w:eastAsia="仿宋"/>
          <w:sz w:val="32"/>
          <w:szCs w:val="32"/>
        </w:rPr>
        <w:t>攀枝花市民族宗教委下属二级单位1个，为其他事业单位1个。</w:t>
      </w:r>
    </w:p>
    <w:p>
      <w:pPr>
        <w:pStyle w:val="5"/>
        <w:adjustRightInd w:val="0"/>
        <w:snapToGrid w:val="0"/>
        <w:spacing w:before="93" w:beforeLines="0" w:line="353" w:lineRule="auto"/>
        <w:ind w:firstLine="668" w:firstLineChars="209"/>
        <w:rPr>
          <w:rFonts w:ascii="仿宋" w:eastAsia="仿宋"/>
          <w:color w:val="000000"/>
          <w:sz w:val="32"/>
          <w:szCs w:val="32"/>
        </w:rPr>
      </w:pPr>
      <w:r>
        <w:rPr>
          <w:rFonts w:hint="eastAsia" w:ascii="仿宋" w:eastAsia="仿宋" w:cs="仿宋"/>
          <w:kern w:val="2"/>
          <w:sz w:val="32"/>
          <w:szCs w:val="32"/>
        </w:rPr>
        <w:t>纳入攀枝花市民族宗教委2021年度部门决算编制范围的二级预算单位包括：</w:t>
      </w:r>
    </w:p>
    <w:p>
      <w:pPr>
        <w:pStyle w:val="5"/>
        <w:adjustRightInd w:val="0"/>
        <w:snapToGrid w:val="0"/>
        <w:spacing w:before="93" w:beforeLines="0" w:line="353" w:lineRule="auto"/>
        <w:ind w:firstLine="668" w:firstLineChars="209"/>
        <w:rPr>
          <w:rFonts w:ascii="仿宋" w:eastAsia="仿宋"/>
          <w:color w:val="000000"/>
          <w:sz w:val="32"/>
          <w:szCs w:val="32"/>
        </w:rPr>
      </w:pPr>
      <w:r>
        <w:rPr>
          <w:rFonts w:hint="eastAsia" w:ascii="仿宋" w:eastAsia="仿宋"/>
          <w:color w:val="000000"/>
          <w:sz w:val="32"/>
          <w:szCs w:val="32"/>
        </w:rPr>
        <w:t>1.攀枝花市民族宗教干部学校。</w:t>
      </w:r>
    </w:p>
    <w:p>
      <w:pPr>
        <w:widowControl/>
        <w:jc w:val="left"/>
        <w:rPr>
          <w:rFonts w:ascii="仿宋" w:eastAsia="仿宋"/>
          <w:color w:val="000000"/>
          <w:kern w:val="0"/>
          <w:sz w:val="32"/>
          <w:szCs w:val="32"/>
        </w:rPr>
      </w:pPr>
    </w:p>
    <w:p>
      <w:pPr>
        <w:widowControl/>
        <w:jc w:val="left"/>
        <w:rPr>
          <w:rFonts w:ascii="仿宋" w:eastAsia="仿宋"/>
          <w:color w:val="000000"/>
          <w:kern w:val="0"/>
          <w:sz w:val="32"/>
          <w:szCs w:val="32"/>
        </w:rPr>
      </w:pPr>
    </w:p>
    <w:p>
      <w:pPr>
        <w:widowControl/>
        <w:jc w:val="left"/>
        <w:rPr>
          <w:rFonts w:ascii="仿宋" w:eastAsia="仿宋"/>
          <w:color w:val="000000"/>
          <w:kern w:val="0"/>
          <w:sz w:val="32"/>
          <w:szCs w:val="32"/>
        </w:rPr>
      </w:pPr>
    </w:p>
    <w:p>
      <w:pPr>
        <w:pStyle w:val="2"/>
        <w:ind w:right="440"/>
        <w:jc w:val="right"/>
        <w:rPr>
          <w:rStyle w:val="17"/>
          <w:rFonts w:ascii="黑体" w:eastAsia="黑体"/>
          <w:b w:val="0"/>
          <w:bCs w:val="0"/>
        </w:rPr>
      </w:pPr>
      <w:bookmarkStart w:id="34" w:name="_Toc2283"/>
      <w:bookmarkStart w:id="35" w:name="_Toc15377204"/>
      <w:r>
        <w:rPr>
          <w:rFonts w:hint="eastAsia" w:ascii="黑体" w:eastAsia="黑体"/>
          <w:b w:val="0"/>
          <w:color w:val="000000"/>
        </w:rPr>
        <w:t>第二部分</w:t>
      </w:r>
      <w:r>
        <w:rPr>
          <w:rStyle w:val="17"/>
          <w:rFonts w:hint="eastAsia" w:ascii="黑体" w:eastAsia="黑体"/>
          <w:b w:val="0"/>
          <w:bCs w:val="0"/>
        </w:rPr>
        <w:t>2021年度部门决算情况说明</w:t>
      </w:r>
      <w:bookmarkEnd w:id="34"/>
      <w:bookmarkEnd w:id="35"/>
    </w:p>
    <w:p>
      <w:pPr>
        <w:spacing w:line="353" w:lineRule="auto"/>
        <w:ind w:firstLine="640" w:firstLineChars="200"/>
        <w:outlineLvl w:val="1"/>
        <w:rPr>
          <w:rStyle w:val="18"/>
          <w:rFonts w:ascii="黑体" w:eastAsia="黑体"/>
          <w:b w:val="0"/>
        </w:rPr>
      </w:pPr>
      <w:bookmarkStart w:id="36" w:name="_Toc15377205"/>
      <w:bookmarkStart w:id="37" w:name="_Toc16598"/>
      <w:r>
        <w:rPr>
          <w:rFonts w:hint="eastAsia" w:ascii="黑体" w:eastAsia="黑体"/>
          <w:sz w:val="32"/>
          <w:szCs w:val="32"/>
        </w:rPr>
        <w:t>一、收入</w:t>
      </w:r>
      <w:r>
        <w:rPr>
          <w:rStyle w:val="18"/>
          <w:rFonts w:hint="eastAsia" w:ascii="黑体" w:eastAsia="黑体"/>
          <w:b w:val="0"/>
        </w:rPr>
        <w:t>支出决算总体情况说明</w:t>
      </w:r>
      <w:bookmarkEnd w:id="36"/>
      <w:bookmarkEnd w:id="37"/>
    </w:p>
    <w:p>
      <w:pPr>
        <w:spacing w:line="353" w:lineRule="auto"/>
        <w:ind w:firstLine="640" w:firstLineChars="200"/>
        <w:rPr>
          <w:rFonts w:ascii="仿宋" w:eastAsia="仿宋"/>
          <w:color w:val="000000"/>
          <w:sz w:val="32"/>
          <w:szCs w:val="32"/>
        </w:rPr>
      </w:pPr>
      <w:r>
        <w:rPr>
          <w:rFonts w:hint="eastAsia" w:ascii="仿宋" w:eastAsia="仿宋"/>
          <w:color w:val="000000"/>
          <w:sz w:val="32"/>
          <w:szCs w:val="32"/>
        </w:rPr>
        <w:drawing>
          <wp:anchor distT="0" distB="0" distL="114300" distR="114300" simplePos="0" relativeHeight="1024" behindDoc="0" locked="0" layoutInCell="1" allowOverlap="1">
            <wp:simplePos x="0" y="0"/>
            <wp:positionH relativeFrom="column">
              <wp:posOffset>314325</wp:posOffset>
            </wp:positionH>
            <wp:positionV relativeFrom="paragraph">
              <wp:posOffset>1256030</wp:posOffset>
            </wp:positionV>
            <wp:extent cx="4781550" cy="2190750"/>
            <wp:effectExtent l="0" t="0" r="22" b="34"/>
            <wp:wrapSquare wrapText="bothSides"/>
            <wp:docPr id="1"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 w:eastAsia="仿宋"/>
          <w:color w:val="000000"/>
          <w:sz w:val="32"/>
          <w:szCs w:val="32"/>
        </w:rPr>
        <w:t>2021年度收、支总计734.16万元。与2020年相比，收、支总计减少71.76万元，减少8.9</w:t>
      </w:r>
      <w:r>
        <w:rPr>
          <w:rFonts w:ascii="仿宋" w:eastAsia="仿宋"/>
          <w:color w:val="000000"/>
          <w:sz w:val="32"/>
          <w:szCs w:val="32"/>
        </w:rPr>
        <w:t>%</w:t>
      </w:r>
      <w:r>
        <w:rPr>
          <w:rFonts w:hint="eastAsia" w:ascii="仿宋" w:eastAsia="仿宋"/>
          <w:color w:val="000000"/>
          <w:sz w:val="32"/>
          <w:szCs w:val="32"/>
        </w:rPr>
        <w:t>。主要变动原因为</w:t>
      </w:r>
      <w:r>
        <w:rPr>
          <w:rFonts w:hint="eastAsia" w:ascii="仿宋" w:eastAsia="仿宋"/>
          <w:sz w:val="32"/>
          <w:szCs w:val="32"/>
        </w:rPr>
        <w:t>项目资金减少</w:t>
      </w:r>
      <w:r>
        <w:rPr>
          <w:rFonts w:hint="eastAsia" w:ascii="仿宋" w:eastAsia="仿宋"/>
          <w:color w:val="000000"/>
          <w:sz w:val="32"/>
          <w:szCs w:val="32"/>
        </w:rPr>
        <w:t>。</w:t>
      </w:r>
    </w:p>
    <w:p>
      <w:pPr>
        <w:spacing w:line="600" w:lineRule="exact"/>
        <w:ind w:firstLine="800" w:firstLineChars="250"/>
        <w:rPr>
          <w:rFonts w:ascii="仿宋" w:eastAsia="仿宋"/>
          <w:color w:val="000000"/>
          <w:sz w:val="32"/>
          <w:szCs w:val="32"/>
        </w:rPr>
      </w:pPr>
      <w:r>
        <w:rPr>
          <w:rFonts w:hint="eastAsia" w:ascii="仿宋" w:eastAsia="仿宋"/>
          <w:color w:val="000000"/>
          <w:sz w:val="32"/>
          <w:szCs w:val="32"/>
        </w:rPr>
        <w:t>（图</w:t>
      </w:r>
      <w:r>
        <w:rPr>
          <w:rFonts w:ascii="仿宋" w:eastAsia="仿宋"/>
          <w:color w:val="000000"/>
          <w:sz w:val="32"/>
          <w:szCs w:val="32"/>
        </w:rPr>
        <w:t>1</w:t>
      </w:r>
      <w:r>
        <w:rPr>
          <w:rFonts w:hint="eastAsia" w:ascii="仿宋" w:eastAsia="仿宋"/>
          <w:color w:val="000000"/>
          <w:sz w:val="32"/>
          <w:szCs w:val="32"/>
        </w:rPr>
        <w:t>：收、支决算总计变动情况图）（柱状图）</w:t>
      </w:r>
    </w:p>
    <w:p>
      <w:pPr>
        <w:spacing w:line="353" w:lineRule="auto"/>
        <w:ind w:firstLine="627" w:firstLineChars="196"/>
        <w:rPr>
          <w:rStyle w:val="18"/>
          <w:rFonts w:ascii="黑体" w:eastAsia="黑体"/>
          <w:b w:val="0"/>
        </w:rPr>
      </w:pPr>
      <w:bookmarkStart w:id="38" w:name="_Toc15377206"/>
      <w:bookmarkStart w:id="39" w:name="_Toc17278"/>
      <w:r>
        <w:rPr>
          <w:rStyle w:val="18"/>
          <w:rFonts w:hint="eastAsia" w:ascii="黑体" w:eastAsia="黑体"/>
          <w:b w:val="0"/>
        </w:rPr>
        <w:t>二、收入决算情况说明</w:t>
      </w:r>
      <w:bookmarkEnd w:id="38"/>
    </w:p>
    <w:bookmarkEnd w:id="39"/>
    <w:p>
      <w:pPr>
        <w:spacing w:line="600" w:lineRule="exact"/>
        <w:ind w:firstLine="640" w:firstLineChars="200"/>
        <w:rPr>
          <w:rFonts w:hint="eastAsia" w:ascii="仿宋" w:eastAsia="仿宋"/>
          <w:color w:val="000000"/>
          <w:sz w:val="32"/>
          <w:szCs w:val="32"/>
        </w:rPr>
      </w:pPr>
      <w:bookmarkStart w:id="40" w:name="_Toc77628800"/>
      <w:bookmarkStart w:id="41" w:name="_Toc4007"/>
      <w:bookmarkStart w:id="42" w:name="_Toc23055"/>
      <w:bookmarkStart w:id="43" w:name="_Toc77627335"/>
      <w:bookmarkStart w:id="44" w:name="_Toc77627265"/>
      <w:bookmarkStart w:id="45" w:name="_Toc3614"/>
      <w:r>
        <w:rPr>
          <w:rFonts w:hint="eastAsia" w:ascii="仿宋" w:eastAsia="仿宋"/>
          <w:color w:val="000000"/>
          <w:sz w:val="32"/>
          <w:szCs w:val="32"/>
        </w:rPr>
        <w:t>2021年本年收入合计730.54万元，其中：一般公共预算财政拨款收入725.52万元，占99.31%；政府性基金预算财政拨款收入5万元，占0.68%；其他收入0.02万元，占0.01%。</w:t>
      </w:r>
      <w:bookmarkEnd w:id="40"/>
      <w:bookmarkEnd w:id="41"/>
      <w:bookmarkEnd w:id="42"/>
      <w:bookmarkEnd w:id="43"/>
      <w:bookmarkEnd w:id="44"/>
      <w:bookmarkEnd w:id="45"/>
    </w:p>
    <w:p>
      <w:pPr>
        <w:spacing w:line="600" w:lineRule="exact"/>
        <w:ind w:firstLine="640" w:firstLineChars="200"/>
        <w:rPr>
          <w:rFonts w:ascii="仿宋" w:eastAsia="仿宋"/>
          <w:color w:val="000000"/>
          <w:sz w:val="32"/>
          <w:szCs w:val="32"/>
        </w:rPr>
      </w:pPr>
      <w:r>
        <w:rPr>
          <w:rFonts w:hint="eastAsia" w:ascii="仿宋" w:eastAsia="仿宋"/>
          <w:color w:val="000000"/>
          <w:sz w:val="32"/>
          <w:szCs w:val="32"/>
        </w:rPr>
        <w:drawing>
          <wp:anchor distT="0" distB="0" distL="114300" distR="114300" simplePos="0" relativeHeight="1024" behindDoc="0" locked="0" layoutInCell="1" allowOverlap="1">
            <wp:simplePos x="0" y="0"/>
            <wp:positionH relativeFrom="column">
              <wp:posOffset>673100</wp:posOffset>
            </wp:positionH>
            <wp:positionV relativeFrom="paragraph">
              <wp:posOffset>33020</wp:posOffset>
            </wp:positionV>
            <wp:extent cx="3514725" cy="1352550"/>
            <wp:effectExtent l="0" t="0" r="41" b="21"/>
            <wp:wrapSquare wrapText="bothSides"/>
            <wp:docPr id="2"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rPr>
          <w:rFonts w:ascii="黑体" w:eastAsia="黑体"/>
          <w:color w:val="000000"/>
          <w:sz w:val="32"/>
          <w:szCs w:val="32"/>
        </w:rPr>
      </w:pPr>
      <w:r>
        <w:rPr>
          <w:rFonts w:hint="eastAsia" w:ascii="仿宋" w:eastAsia="仿宋"/>
          <w:color w:val="000000"/>
          <w:sz w:val="32"/>
          <w:szCs w:val="32"/>
        </w:rPr>
        <w:t>（图2：收入决算结构图）（饼状图）</w:t>
      </w:r>
      <w:bookmarkStart w:id="46" w:name="_Toc15377207"/>
    </w:p>
    <w:p>
      <w:pPr>
        <w:spacing w:line="353" w:lineRule="auto"/>
        <w:ind w:firstLine="640" w:firstLineChars="200"/>
        <w:outlineLvl w:val="1"/>
        <w:rPr>
          <w:rStyle w:val="18"/>
          <w:rFonts w:ascii="黑体" w:eastAsia="黑体"/>
          <w:b w:val="0"/>
        </w:rPr>
      </w:pPr>
      <w:bookmarkStart w:id="47" w:name="_Toc16257"/>
      <w:r>
        <w:rPr>
          <w:rFonts w:hint="eastAsia" w:ascii="黑体" w:eastAsia="黑体"/>
          <w:sz w:val="32"/>
          <w:szCs w:val="32"/>
        </w:rPr>
        <w:t>三、支出</w:t>
      </w:r>
      <w:r>
        <w:rPr>
          <w:rStyle w:val="18"/>
          <w:rFonts w:hint="eastAsia" w:ascii="黑体" w:eastAsia="黑体"/>
          <w:b w:val="0"/>
        </w:rPr>
        <w:t>决算情况说明</w:t>
      </w:r>
      <w:bookmarkEnd w:id="46"/>
      <w:bookmarkEnd w:id="47"/>
    </w:p>
    <w:p>
      <w:pPr>
        <w:spacing w:line="353" w:lineRule="auto"/>
        <w:ind w:firstLine="640"/>
        <w:rPr>
          <w:rFonts w:ascii="仿宋" w:eastAsia="仿宋"/>
          <w:color w:val="000000"/>
          <w:sz w:val="32"/>
          <w:szCs w:val="32"/>
        </w:rPr>
      </w:pPr>
      <w:r>
        <w:rPr>
          <w:rFonts w:ascii="仿宋" w:eastAsia="仿宋"/>
          <w:color w:val="000000"/>
          <w:sz w:val="32"/>
          <w:szCs w:val="32"/>
        </w:rPr>
        <w:t>20</w:t>
      </w:r>
      <w:r>
        <w:rPr>
          <w:rFonts w:hint="eastAsia" w:ascii="仿宋" w:eastAsia="仿宋"/>
          <w:color w:val="000000"/>
          <w:sz w:val="32"/>
          <w:szCs w:val="32"/>
        </w:rPr>
        <w:t>21年本年支出合计734.16万元，其中：基本支出584.64万元，占79.63</w:t>
      </w:r>
      <w:r>
        <w:rPr>
          <w:rFonts w:ascii="仿宋" w:eastAsia="仿宋"/>
          <w:color w:val="000000"/>
          <w:sz w:val="32"/>
          <w:szCs w:val="32"/>
        </w:rPr>
        <w:t>%</w:t>
      </w:r>
      <w:r>
        <w:rPr>
          <w:rFonts w:hint="eastAsia" w:ascii="仿宋" w:eastAsia="仿宋"/>
          <w:color w:val="000000"/>
          <w:sz w:val="32"/>
          <w:szCs w:val="32"/>
        </w:rPr>
        <w:t>；项目支出149.52万元，占20.37</w:t>
      </w:r>
      <w:r>
        <w:rPr>
          <w:rFonts w:ascii="仿宋" w:eastAsia="仿宋"/>
          <w:color w:val="000000"/>
          <w:sz w:val="32"/>
          <w:szCs w:val="32"/>
        </w:rPr>
        <w:t>%</w:t>
      </w:r>
      <w:r>
        <w:rPr>
          <w:rFonts w:hint="eastAsia" w:ascii="仿宋" w:eastAsia="仿宋"/>
          <w:color w:val="000000"/>
          <w:sz w:val="32"/>
          <w:szCs w:val="32"/>
        </w:rPr>
        <w:t>。</w:t>
      </w:r>
    </w:p>
    <w:p>
      <w:pPr>
        <w:spacing w:line="600" w:lineRule="exact"/>
        <w:ind w:firstLine="640"/>
        <w:rPr>
          <w:rFonts w:ascii="仿宋" w:eastAsia="仿宋"/>
          <w:color w:val="000000"/>
          <w:sz w:val="32"/>
          <w:szCs w:val="32"/>
        </w:rPr>
      </w:pPr>
      <w:r>
        <w:rPr>
          <w:rFonts w:ascii="仿宋" w:eastAsia="仿宋"/>
          <w:color w:val="000000"/>
          <w:sz w:val="32"/>
          <w:szCs w:val="32"/>
        </w:rPr>
        <w:drawing>
          <wp:anchor distT="0" distB="0" distL="114300" distR="114300" simplePos="0" relativeHeight="1024" behindDoc="1" locked="0" layoutInCell="1" allowOverlap="1">
            <wp:simplePos x="0" y="0"/>
            <wp:positionH relativeFrom="column">
              <wp:posOffset>-114300</wp:posOffset>
            </wp:positionH>
            <wp:positionV relativeFrom="paragraph">
              <wp:posOffset>104775</wp:posOffset>
            </wp:positionV>
            <wp:extent cx="5029200" cy="2524125"/>
            <wp:effectExtent l="0" t="0" r="0" b="0"/>
            <wp:wrapNone/>
            <wp:docPr id="3" name="对象 9"/>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p>
    <w:p>
      <w:pPr>
        <w:tabs>
          <w:tab w:val="left" w:pos="4005"/>
        </w:tabs>
        <w:spacing w:line="600" w:lineRule="exact"/>
        <w:ind w:firstLine="640"/>
        <w:rPr>
          <w:rFonts w:ascii="仿宋" w:eastAsia="仿宋"/>
          <w:color w:val="000000"/>
          <w:sz w:val="32"/>
          <w:szCs w:val="32"/>
        </w:rPr>
      </w:pPr>
      <w:r>
        <w:rPr>
          <w:rFonts w:ascii="仿宋" w:eastAsia="仿宋"/>
          <w:color w:val="000000"/>
          <w:sz w:val="32"/>
          <w:szCs w:val="32"/>
        </w:rPr>
        <w:tab/>
      </w:r>
    </w:p>
    <w:p>
      <w:pPr>
        <w:tabs>
          <w:tab w:val="left" w:pos="4005"/>
        </w:tabs>
        <w:spacing w:line="600" w:lineRule="exact"/>
        <w:ind w:firstLine="640"/>
        <w:rPr>
          <w:rFonts w:ascii="仿宋" w:eastAsia="仿宋"/>
          <w:color w:val="000000"/>
          <w:sz w:val="32"/>
          <w:szCs w:val="32"/>
        </w:rPr>
      </w:pPr>
      <w:r>
        <w:rPr>
          <w:rFonts w:ascii="仿宋" w:eastAsia="仿宋"/>
          <w:color w:val="000000"/>
          <w:sz w:val="32"/>
          <w:szCs w:val="32"/>
        </w:rPr>
        <w:tab/>
      </w:r>
    </w:p>
    <w:p>
      <w:pPr>
        <w:spacing w:line="600" w:lineRule="exact"/>
        <w:ind w:firstLine="64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r>
        <w:rPr>
          <w:rFonts w:hint="eastAsia" w:ascii="仿宋" w:eastAsia="仿宋"/>
          <w:color w:val="000000"/>
          <w:sz w:val="32"/>
          <w:szCs w:val="32"/>
        </w:rPr>
        <w:t>（图3：支出决算结构图）（饼状图）</w:t>
      </w:r>
    </w:p>
    <w:p>
      <w:pPr>
        <w:spacing w:line="600" w:lineRule="exact"/>
        <w:ind w:firstLine="640" w:firstLineChars="200"/>
        <w:outlineLvl w:val="1"/>
        <w:rPr>
          <w:rStyle w:val="18"/>
          <w:rFonts w:ascii="黑体" w:eastAsia="黑体"/>
          <w:b w:val="0"/>
        </w:rPr>
      </w:pPr>
      <w:bookmarkStart w:id="48" w:name="_Toc30197"/>
      <w:bookmarkStart w:id="49" w:name="_Toc15377208"/>
      <w:r>
        <w:rPr>
          <w:rFonts w:hint="eastAsia" w:ascii="黑体" w:eastAsia="黑体"/>
          <w:color w:val="000000"/>
          <w:sz w:val="32"/>
          <w:szCs w:val="32"/>
        </w:rPr>
        <w:t>四、财</w:t>
      </w:r>
      <w:r>
        <w:rPr>
          <w:rStyle w:val="18"/>
          <w:rFonts w:hint="eastAsia" w:ascii="黑体" w:eastAsia="黑体"/>
          <w:b w:val="0"/>
        </w:rPr>
        <w:t>政拨款收入支出决算总体情况说明</w:t>
      </w:r>
      <w:bookmarkEnd w:id="48"/>
      <w:bookmarkEnd w:id="49"/>
    </w:p>
    <w:p>
      <w:pPr>
        <w:spacing w:line="600" w:lineRule="exact"/>
        <w:ind w:firstLine="640" w:firstLineChars="200"/>
        <w:rPr>
          <w:rFonts w:ascii="仿宋" w:eastAsia="仿宋"/>
          <w:color w:val="000000"/>
          <w:sz w:val="32"/>
          <w:szCs w:val="32"/>
        </w:rPr>
      </w:pPr>
      <w:r>
        <w:rPr>
          <w:rFonts w:ascii="仿宋" w:eastAsia="仿宋"/>
          <w:color w:val="000000"/>
          <w:sz w:val="32"/>
          <w:szCs w:val="32"/>
        </w:rPr>
        <w:t>20</w:t>
      </w:r>
      <w:r>
        <w:rPr>
          <w:rFonts w:hint="eastAsia" w:ascii="仿宋" w:eastAsia="仿宋"/>
          <w:color w:val="000000"/>
          <w:sz w:val="32"/>
          <w:szCs w:val="32"/>
        </w:rPr>
        <w:t>21年财政拨款收、支总计734.14万元。与</w:t>
      </w:r>
      <w:r>
        <w:rPr>
          <w:rFonts w:ascii="仿宋" w:eastAsia="仿宋"/>
          <w:color w:val="000000"/>
          <w:sz w:val="32"/>
          <w:szCs w:val="32"/>
        </w:rPr>
        <w:t>20</w:t>
      </w:r>
      <w:r>
        <w:rPr>
          <w:rFonts w:hint="eastAsia" w:ascii="仿宋" w:eastAsia="仿宋"/>
          <w:color w:val="000000"/>
          <w:sz w:val="32"/>
          <w:szCs w:val="32"/>
        </w:rPr>
        <w:t>20年相比，财政拨款收、支总计各减少70.78万元，减少8.79</w:t>
      </w:r>
      <w:r>
        <w:rPr>
          <w:rFonts w:ascii="仿宋" w:eastAsia="仿宋"/>
          <w:color w:val="000000"/>
          <w:sz w:val="32"/>
          <w:szCs w:val="32"/>
        </w:rPr>
        <w:t>%</w:t>
      </w:r>
      <w:r>
        <w:rPr>
          <w:rFonts w:hint="eastAsia" w:ascii="仿宋" w:eastAsia="仿宋"/>
          <w:color w:val="000000"/>
          <w:sz w:val="32"/>
          <w:szCs w:val="32"/>
        </w:rPr>
        <w:t>。主要变动原因为</w:t>
      </w:r>
      <w:r>
        <w:rPr>
          <w:rFonts w:hint="eastAsia" w:ascii="仿宋" w:eastAsia="仿宋"/>
          <w:sz w:val="32"/>
          <w:szCs w:val="32"/>
        </w:rPr>
        <w:t>项目资金减少</w:t>
      </w:r>
      <w:r>
        <w:rPr>
          <w:rFonts w:hint="eastAsia" w:ascii="仿宋" w:eastAsia="仿宋"/>
          <w:color w:val="000000"/>
          <w:sz w:val="32"/>
          <w:szCs w:val="32"/>
        </w:rPr>
        <w:t>。</w:t>
      </w:r>
    </w:p>
    <w:p>
      <w:pPr>
        <w:spacing w:line="600" w:lineRule="exact"/>
        <w:rPr>
          <w:rFonts w:ascii="仿宋" w:eastAsia="仿宋"/>
          <w:color w:val="000000"/>
          <w:sz w:val="32"/>
          <w:szCs w:val="32"/>
        </w:rPr>
      </w:pPr>
      <w:r>
        <w:rPr>
          <w:rFonts w:hint="eastAsia" w:ascii="黑体" w:eastAsia="黑体"/>
          <w:color w:val="000000"/>
          <w:sz w:val="32"/>
          <w:szCs w:val="32"/>
        </w:rPr>
        <w:drawing>
          <wp:anchor distT="0" distB="0" distL="114300" distR="114300" simplePos="0" relativeHeight="1024" behindDoc="0" locked="0" layoutInCell="1" allowOverlap="1">
            <wp:simplePos x="0" y="0"/>
            <wp:positionH relativeFrom="column">
              <wp:posOffset>371475</wp:posOffset>
            </wp:positionH>
            <wp:positionV relativeFrom="paragraph">
              <wp:posOffset>103505</wp:posOffset>
            </wp:positionV>
            <wp:extent cx="4438650" cy="2334260"/>
            <wp:effectExtent l="0" t="0" r="27" b="4"/>
            <wp:wrapSquare wrapText="bothSides"/>
            <wp:docPr id="4"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rPr>
          <w:rFonts w:ascii="黑体" w:eastAsia="黑体"/>
          <w:color w:val="000000"/>
          <w:sz w:val="32"/>
          <w:szCs w:val="32"/>
        </w:rPr>
      </w:pPr>
      <w:r>
        <w:rPr>
          <w:rFonts w:hint="eastAsia" w:ascii="仿宋" w:eastAsia="仿宋"/>
          <w:color w:val="000000"/>
          <w:sz w:val="32"/>
          <w:szCs w:val="32"/>
        </w:rPr>
        <w:t>（图4：财政拨款收、支决算总计变动情况）（柱状图）</w:t>
      </w:r>
      <w:bookmarkStart w:id="50" w:name="_Toc15377209"/>
    </w:p>
    <w:p>
      <w:pPr>
        <w:spacing w:line="600" w:lineRule="exact"/>
        <w:ind w:firstLine="640" w:firstLineChars="200"/>
        <w:outlineLvl w:val="1"/>
        <w:rPr>
          <w:rStyle w:val="18"/>
          <w:rFonts w:ascii="黑体" w:eastAsia="黑体"/>
          <w:b w:val="0"/>
        </w:rPr>
      </w:pPr>
      <w:bookmarkStart w:id="51" w:name="_Toc28620"/>
      <w:r>
        <w:rPr>
          <w:rFonts w:hint="eastAsia" w:ascii="黑体" w:eastAsia="黑体"/>
          <w:color w:val="000000"/>
          <w:sz w:val="32"/>
          <w:szCs w:val="32"/>
        </w:rPr>
        <w:t>五、</w:t>
      </w:r>
      <w:r>
        <w:rPr>
          <w:rFonts w:hint="eastAsia" w:ascii="黑体" w:eastAsia="黑体"/>
          <w:b/>
          <w:color w:val="000000"/>
          <w:sz w:val="32"/>
          <w:szCs w:val="32"/>
        </w:rPr>
        <w:t>一</w:t>
      </w:r>
      <w:r>
        <w:rPr>
          <w:rStyle w:val="18"/>
          <w:rFonts w:hint="eastAsia" w:ascii="黑体" w:eastAsia="黑体"/>
          <w:b w:val="0"/>
        </w:rPr>
        <w:t>般公共预算财政拨款支出决算情况说明</w:t>
      </w:r>
      <w:bookmarkEnd w:id="50"/>
      <w:bookmarkEnd w:id="51"/>
    </w:p>
    <w:p>
      <w:pPr>
        <w:spacing w:line="600" w:lineRule="exact"/>
        <w:ind w:firstLine="642" w:firstLineChars="200"/>
        <w:outlineLvl w:val="2"/>
        <w:rPr>
          <w:rFonts w:ascii="楷体" w:eastAsia="楷体"/>
          <w:b/>
          <w:color w:val="000000"/>
          <w:sz w:val="32"/>
          <w:szCs w:val="32"/>
        </w:rPr>
      </w:pPr>
      <w:bookmarkStart w:id="52" w:name="_Toc15377210"/>
      <w:r>
        <w:rPr>
          <w:rFonts w:hint="eastAsia" w:ascii="楷体" w:eastAsia="楷体"/>
          <w:b/>
          <w:color w:val="000000"/>
          <w:sz w:val="32"/>
          <w:szCs w:val="32"/>
        </w:rPr>
        <w:t>（一）一般公共预算财政拨款支出决算总体情况</w:t>
      </w:r>
      <w:bookmarkEnd w:id="52"/>
    </w:p>
    <w:p>
      <w:pPr>
        <w:spacing w:line="600" w:lineRule="exact"/>
        <w:ind w:firstLine="640" w:firstLineChars="200"/>
        <w:rPr>
          <w:rFonts w:ascii="仿宋" w:eastAsia="仿宋"/>
          <w:color w:val="000000"/>
          <w:sz w:val="32"/>
          <w:szCs w:val="32"/>
        </w:rPr>
      </w:pPr>
      <w:r>
        <w:rPr>
          <w:rFonts w:ascii="仿宋" w:eastAsia="仿宋"/>
          <w:color w:val="000000"/>
          <w:sz w:val="32"/>
          <w:szCs w:val="32"/>
        </w:rPr>
        <w:drawing>
          <wp:anchor distT="0" distB="0" distL="114300" distR="114300" simplePos="0" relativeHeight="1024" behindDoc="0" locked="0" layoutInCell="1" allowOverlap="1">
            <wp:simplePos x="0" y="0"/>
            <wp:positionH relativeFrom="column">
              <wp:posOffset>219075</wp:posOffset>
            </wp:positionH>
            <wp:positionV relativeFrom="paragraph">
              <wp:posOffset>1933575</wp:posOffset>
            </wp:positionV>
            <wp:extent cx="4829175" cy="1564005"/>
            <wp:effectExtent l="0" t="0" r="22" b="24"/>
            <wp:wrapSquare wrapText="bothSides"/>
            <wp:docPr id="5"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eastAsia="仿宋"/>
          <w:color w:val="000000"/>
          <w:sz w:val="32"/>
          <w:szCs w:val="32"/>
        </w:rPr>
        <w:t>20</w:t>
      </w:r>
      <w:r>
        <w:rPr>
          <w:rFonts w:hint="eastAsia" w:ascii="仿宋" w:eastAsia="仿宋"/>
          <w:color w:val="000000"/>
          <w:sz w:val="32"/>
          <w:szCs w:val="32"/>
        </w:rPr>
        <w:t>21年一般公共预算财政拨款支出729.14万元，占本年支出合计的99.32</w:t>
      </w:r>
      <w:r>
        <w:rPr>
          <w:rFonts w:ascii="仿宋" w:eastAsia="仿宋"/>
          <w:color w:val="000000"/>
          <w:sz w:val="32"/>
          <w:szCs w:val="32"/>
        </w:rPr>
        <w:t>%</w:t>
      </w:r>
      <w:r>
        <w:rPr>
          <w:rFonts w:hint="eastAsia" w:ascii="仿宋" w:eastAsia="仿宋"/>
          <w:color w:val="000000"/>
          <w:sz w:val="32"/>
          <w:szCs w:val="32"/>
        </w:rPr>
        <w:t>。与</w:t>
      </w:r>
      <w:r>
        <w:rPr>
          <w:rFonts w:ascii="仿宋" w:eastAsia="仿宋"/>
          <w:color w:val="000000"/>
          <w:sz w:val="32"/>
          <w:szCs w:val="32"/>
        </w:rPr>
        <w:t>20</w:t>
      </w:r>
      <w:r>
        <w:rPr>
          <w:rFonts w:hint="eastAsia" w:ascii="仿宋" w:eastAsia="仿宋"/>
          <w:color w:val="000000"/>
          <w:sz w:val="32"/>
          <w:szCs w:val="32"/>
        </w:rPr>
        <w:t>20年相比，一般公共预算财政拨款支出增加30.84万元，增长4.42</w:t>
      </w:r>
      <w:r>
        <w:rPr>
          <w:rFonts w:ascii="仿宋" w:eastAsia="仿宋"/>
          <w:color w:val="000000"/>
          <w:sz w:val="32"/>
          <w:szCs w:val="32"/>
        </w:rPr>
        <w:t>%</w:t>
      </w:r>
      <w:r>
        <w:rPr>
          <w:rFonts w:hint="eastAsia" w:ascii="仿宋" w:eastAsia="仿宋"/>
          <w:color w:val="000000"/>
          <w:sz w:val="32"/>
          <w:szCs w:val="32"/>
        </w:rPr>
        <w:t>。主要变动原因是安排的</w:t>
      </w:r>
      <w:r>
        <w:rPr>
          <w:rFonts w:hint="eastAsia" w:ascii="仿宋" w:eastAsia="仿宋"/>
          <w:sz w:val="32"/>
          <w:szCs w:val="32"/>
        </w:rPr>
        <w:t>项目资金科目部分由政府性基金预算财政拨款变为</w:t>
      </w:r>
      <w:r>
        <w:rPr>
          <w:rFonts w:hint="eastAsia" w:ascii="仿宋" w:eastAsia="仿宋"/>
          <w:color w:val="000000"/>
          <w:sz w:val="32"/>
          <w:szCs w:val="32"/>
        </w:rPr>
        <w:t>一般公共预算财政拨款。</w:t>
      </w:r>
    </w:p>
    <w:p>
      <w:pPr>
        <w:spacing w:line="600" w:lineRule="exact"/>
        <w:rPr>
          <w:rFonts w:ascii="仿宋" w:eastAsia="仿宋"/>
          <w:color w:val="000000"/>
          <w:sz w:val="32"/>
          <w:szCs w:val="32"/>
        </w:rPr>
      </w:pPr>
      <w:r>
        <w:rPr>
          <w:rFonts w:hint="eastAsia" w:ascii="仿宋" w:eastAsia="仿宋"/>
          <w:color w:val="000000"/>
          <w:sz w:val="32"/>
          <w:szCs w:val="32"/>
        </w:rPr>
        <w:t>（图5：一般公共预算财政拨款支出决算变动情况）（柱状图）</w:t>
      </w:r>
    </w:p>
    <w:p>
      <w:pPr>
        <w:spacing w:line="600" w:lineRule="exact"/>
        <w:ind w:firstLine="642" w:firstLineChars="200"/>
        <w:outlineLvl w:val="2"/>
        <w:rPr>
          <w:rFonts w:ascii="楷体" w:eastAsia="楷体"/>
          <w:b/>
          <w:color w:val="000000"/>
          <w:sz w:val="32"/>
          <w:szCs w:val="32"/>
        </w:rPr>
      </w:pPr>
      <w:bookmarkStart w:id="53" w:name="_Toc15377211"/>
      <w:r>
        <w:rPr>
          <w:rFonts w:hint="eastAsia" w:ascii="楷体" w:eastAsia="楷体"/>
          <w:b/>
          <w:color w:val="000000"/>
          <w:sz w:val="32"/>
          <w:szCs w:val="32"/>
        </w:rPr>
        <w:t>（二）一般公共预算财政拨款支出决算结构情况</w:t>
      </w:r>
      <w:bookmarkEnd w:id="53"/>
    </w:p>
    <w:p>
      <w:pPr>
        <w:spacing w:line="600" w:lineRule="exact"/>
        <w:ind w:firstLine="640"/>
        <w:rPr>
          <w:rFonts w:ascii="仿宋" w:eastAsia="仿宋"/>
          <w:color w:val="000000"/>
          <w:sz w:val="32"/>
          <w:szCs w:val="32"/>
        </w:rPr>
      </w:pPr>
      <w:r>
        <w:rPr>
          <w:rFonts w:ascii="仿宋" w:eastAsia="仿宋"/>
          <w:color w:val="000000"/>
          <w:sz w:val="32"/>
          <w:szCs w:val="32"/>
        </w:rPr>
        <w:t>20</w:t>
      </w:r>
      <w:r>
        <w:rPr>
          <w:rFonts w:hint="eastAsia" w:ascii="仿宋" w:eastAsia="仿宋"/>
          <w:color w:val="000000"/>
          <w:sz w:val="32"/>
          <w:szCs w:val="32"/>
        </w:rPr>
        <w:t>21年一般公共预算财政拨款支出729.14万元，主要用于以下方面</w:t>
      </w:r>
      <w:r>
        <w:rPr>
          <w:rFonts w:ascii="仿宋" w:eastAsia="仿宋"/>
          <w:color w:val="000000"/>
          <w:sz w:val="32"/>
          <w:szCs w:val="32"/>
        </w:rPr>
        <w:t>:</w:t>
      </w:r>
      <w:r>
        <w:rPr>
          <w:rFonts w:hint="eastAsia" w:ascii="仿宋" w:eastAsia="仿宋"/>
          <w:color w:val="000000"/>
          <w:sz w:val="32"/>
          <w:szCs w:val="32"/>
        </w:rPr>
        <w:t>一般公共服务（类）支出534.17万元，占73.26</w:t>
      </w:r>
      <w:r>
        <w:rPr>
          <w:rFonts w:ascii="仿宋" w:eastAsia="仿宋"/>
          <w:color w:val="000000"/>
          <w:sz w:val="32"/>
          <w:szCs w:val="32"/>
        </w:rPr>
        <w:t>%</w:t>
      </w:r>
      <w:r>
        <w:rPr>
          <w:rFonts w:hint="eastAsia" w:ascii="仿宋" w:eastAsia="仿宋"/>
          <w:color w:val="000000"/>
          <w:sz w:val="32"/>
          <w:szCs w:val="32"/>
        </w:rPr>
        <w:t>；社会保障和就业（类）支出73.76万元，占10.12</w:t>
      </w:r>
      <w:r>
        <w:rPr>
          <w:rFonts w:ascii="仿宋" w:eastAsia="仿宋"/>
          <w:color w:val="000000"/>
          <w:sz w:val="32"/>
          <w:szCs w:val="32"/>
        </w:rPr>
        <w:t>%</w:t>
      </w:r>
      <w:r>
        <w:rPr>
          <w:rFonts w:hint="eastAsia" w:ascii="仿宋" w:eastAsia="仿宋"/>
          <w:color w:val="000000"/>
          <w:sz w:val="32"/>
          <w:szCs w:val="32"/>
        </w:rPr>
        <w:t>；农林水支出83.72万元，占11.48</w:t>
      </w:r>
      <w:r>
        <w:rPr>
          <w:rFonts w:ascii="仿宋" w:eastAsia="仿宋"/>
          <w:color w:val="000000"/>
          <w:sz w:val="32"/>
          <w:szCs w:val="32"/>
        </w:rPr>
        <w:t>%</w:t>
      </w:r>
      <w:r>
        <w:rPr>
          <w:rFonts w:hint="eastAsia" w:ascii="仿宋" w:eastAsia="仿宋"/>
          <w:color w:val="000000"/>
          <w:sz w:val="32"/>
          <w:szCs w:val="32"/>
        </w:rPr>
        <w:t>；住房保障支出37.49万元，占5.14</w:t>
      </w:r>
      <w:r>
        <w:rPr>
          <w:rFonts w:ascii="仿宋" w:eastAsia="仿宋"/>
          <w:color w:val="000000"/>
          <w:sz w:val="32"/>
          <w:szCs w:val="32"/>
        </w:rPr>
        <w:t>%</w:t>
      </w:r>
      <w:r>
        <w:rPr>
          <w:rFonts w:hint="eastAsia" w:ascii="仿宋" w:eastAsia="仿宋"/>
          <w:color w:val="000000"/>
          <w:sz w:val="32"/>
          <w:szCs w:val="32"/>
        </w:rPr>
        <w:t>。</w:t>
      </w:r>
    </w:p>
    <w:p>
      <w:pPr>
        <w:spacing w:line="600" w:lineRule="exact"/>
        <w:ind w:firstLine="640" w:firstLineChars="200"/>
        <w:rPr>
          <w:rFonts w:ascii="仿宋" w:eastAsia="仿宋"/>
          <w:color w:val="000000"/>
          <w:sz w:val="32"/>
          <w:szCs w:val="32"/>
        </w:rPr>
      </w:pPr>
      <w:r>
        <w:rPr>
          <w:rFonts w:hint="eastAsia" w:ascii="仿宋" w:eastAsia="仿宋"/>
          <w:color w:val="000000"/>
          <w:sz w:val="32"/>
          <w:szCs w:val="32"/>
        </w:rPr>
        <w:drawing>
          <wp:anchor distT="0" distB="0" distL="114300" distR="114300" simplePos="0" relativeHeight="1024" behindDoc="0" locked="0" layoutInCell="1" allowOverlap="0">
            <wp:simplePos x="0" y="0"/>
            <wp:positionH relativeFrom="column">
              <wp:posOffset>114300</wp:posOffset>
            </wp:positionH>
            <wp:positionV relativeFrom="paragraph">
              <wp:posOffset>48895</wp:posOffset>
            </wp:positionV>
            <wp:extent cx="4772025" cy="1422400"/>
            <wp:effectExtent l="0" t="0" r="22" b="43"/>
            <wp:wrapSquare wrapText="bothSides"/>
            <wp:docPr id="6"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eastAsia="仿宋"/>
          <w:color w:val="000000"/>
          <w:sz w:val="32"/>
          <w:szCs w:val="32"/>
        </w:rPr>
      </w:pPr>
    </w:p>
    <w:p>
      <w:pPr>
        <w:spacing w:line="600" w:lineRule="exact"/>
        <w:rPr>
          <w:rFonts w:ascii="仿宋" w:eastAsia="仿宋"/>
          <w:color w:val="000000"/>
          <w:sz w:val="32"/>
          <w:szCs w:val="32"/>
        </w:rPr>
      </w:pPr>
    </w:p>
    <w:p>
      <w:pPr>
        <w:spacing w:line="600" w:lineRule="exact"/>
        <w:rPr>
          <w:rFonts w:ascii="仿宋" w:eastAsia="仿宋"/>
          <w:color w:val="000000"/>
          <w:sz w:val="32"/>
          <w:szCs w:val="32"/>
        </w:rPr>
      </w:pPr>
    </w:p>
    <w:p>
      <w:pPr>
        <w:spacing w:line="600" w:lineRule="exact"/>
        <w:rPr>
          <w:rFonts w:ascii="仿宋" w:eastAsia="仿宋"/>
          <w:color w:val="000000"/>
          <w:sz w:val="32"/>
          <w:szCs w:val="32"/>
        </w:rPr>
      </w:pPr>
      <w:r>
        <w:rPr>
          <w:rFonts w:hint="eastAsia" w:ascii="仿宋" w:eastAsia="仿宋"/>
          <w:color w:val="000000"/>
          <w:sz w:val="32"/>
          <w:szCs w:val="32"/>
        </w:rPr>
        <w:t>（图6：一般公共预算财政拨款支出决算结构）（饼状图）</w:t>
      </w:r>
    </w:p>
    <w:p>
      <w:pPr>
        <w:spacing w:line="600" w:lineRule="exact"/>
        <w:ind w:firstLine="642" w:firstLineChars="200"/>
        <w:outlineLvl w:val="2"/>
        <w:rPr>
          <w:rFonts w:ascii="楷体" w:eastAsia="楷体"/>
          <w:b/>
          <w:color w:val="000000"/>
          <w:sz w:val="32"/>
          <w:szCs w:val="32"/>
        </w:rPr>
      </w:pPr>
      <w:bookmarkStart w:id="54" w:name="_Toc15377212"/>
      <w:r>
        <w:rPr>
          <w:rFonts w:hint="eastAsia" w:ascii="楷体" w:eastAsia="楷体"/>
          <w:b/>
          <w:color w:val="000000"/>
          <w:sz w:val="32"/>
          <w:szCs w:val="32"/>
        </w:rPr>
        <w:t>（三）一般公共预算财政拨款支出决算具体情况</w:t>
      </w:r>
      <w:bookmarkEnd w:id="54"/>
    </w:p>
    <w:p>
      <w:pPr>
        <w:spacing w:line="600" w:lineRule="exact"/>
        <w:ind w:firstLine="640" w:firstLineChars="200"/>
        <w:outlineLvl w:val="2"/>
        <w:rPr>
          <w:rFonts w:ascii="仿宋" w:eastAsia="仿宋"/>
          <w:b/>
          <w:color w:val="FF0000"/>
          <w:sz w:val="32"/>
          <w:szCs w:val="32"/>
        </w:rPr>
      </w:pPr>
      <w:bookmarkStart w:id="55" w:name="_Toc15378460"/>
      <w:bookmarkStart w:id="56" w:name="_Toc15377213"/>
      <w:bookmarkStart w:id="57" w:name="_Toc15377444"/>
      <w:r>
        <w:rPr>
          <w:rFonts w:hint="eastAsia" w:ascii="仿宋" w:eastAsia="仿宋"/>
          <w:color w:val="000000"/>
          <w:sz w:val="32"/>
          <w:szCs w:val="32"/>
        </w:rPr>
        <w:t>2021年一般公共预算支出决算数为729.14万元</w:t>
      </w:r>
      <w:r>
        <w:rPr>
          <w:rFonts w:hint="eastAsia" w:ascii="仿宋" w:eastAsia="仿宋"/>
          <w:b/>
          <w:color w:val="000000"/>
          <w:sz w:val="32"/>
          <w:szCs w:val="32"/>
        </w:rPr>
        <w:t>，</w:t>
      </w:r>
      <w:r>
        <w:rPr>
          <w:rStyle w:val="14"/>
          <w:rFonts w:hint="eastAsia" w:ascii="仿宋" w:eastAsia="仿宋"/>
          <w:b w:val="0"/>
          <w:bCs/>
          <w:color w:val="000000"/>
          <w:sz w:val="32"/>
          <w:szCs w:val="32"/>
        </w:rPr>
        <w:t>完成预算100</w:t>
      </w:r>
      <w:r>
        <w:rPr>
          <w:rStyle w:val="14"/>
          <w:rFonts w:ascii="仿宋" w:eastAsia="仿宋"/>
          <w:b w:val="0"/>
          <w:bCs/>
          <w:color w:val="000000"/>
          <w:sz w:val="32"/>
          <w:szCs w:val="32"/>
        </w:rPr>
        <w:t>%</w:t>
      </w:r>
      <w:r>
        <w:rPr>
          <w:rStyle w:val="14"/>
          <w:rFonts w:hint="eastAsia" w:ascii="仿宋" w:eastAsia="仿宋"/>
          <w:b w:val="0"/>
          <w:bCs/>
          <w:color w:val="000000"/>
          <w:sz w:val="32"/>
          <w:szCs w:val="32"/>
        </w:rPr>
        <w:t>。其中：</w:t>
      </w:r>
      <w:bookmarkEnd w:id="55"/>
      <w:bookmarkEnd w:id="56"/>
      <w:bookmarkEnd w:id="57"/>
    </w:p>
    <w:p>
      <w:pPr>
        <w:spacing w:line="640" w:lineRule="exact"/>
        <w:ind w:firstLine="640" w:firstLineChars="200"/>
        <w:rPr>
          <w:rFonts w:ascii="仿宋" w:eastAsia="仿宋"/>
          <w:color w:val="000000"/>
          <w:sz w:val="32"/>
          <w:szCs w:val="32"/>
        </w:rPr>
      </w:pPr>
      <w:r>
        <w:rPr>
          <w:rFonts w:ascii="仿宋" w:eastAsia="仿宋"/>
          <w:color w:val="000000"/>
          <w:sz w:val="32"/>
          <w:szCs w:val="32"/>
        </w:rPr>
        <w:t>1.</w:t>
      </w:r>
      <w:r>
        <w:rPr>
          <w:rFonts w:hint="eastAsia" w:ascii="仿宋" w:eastAsia="仿宋"/>
          <w:color w:val="000000"/>
          <w:sz w:val="32"/>
          <w:szCs w:val="32"/>
        </w:rPr>
        <w:t>一般公共服务支出（类）民族事务（款）行政运行（项）:支出决算为378.02万元，完成预算100%。</w:t>
      </w:r>
    </w:p>
    <w:p>
      <w:pPr>
        <w:spacing w:line="640" w:lineRule="exact"/>
        <w:ind w:firstLine="640" w:firstLineChars="200"/>
        <w:rPr>
          <w:rFonts w:ascii="仿宋" w:eastAsia="仿宋"/>
          <w:color w:val="000000"/>
          <w:sz w:val="32"/>
          <w:szCs w:val="32"/>
        </w:rPr>
      </w:pPr>
      <w:r>
        <w:rPr>
          <w:rFonts w:hint="eastAsia" w:ascii="仿宋" w:eastAsia="仿宋"/>
          <w:color w:val="000000"/>
          <w:sz w:val="32"/>
          <w:szCs w:val="32"/>
        </w:rPr>
        <w:t>一般公共服务支出（类）民族事务（款）事业运行（项）：支出决算为96.55万元，完成预算100%。</w:t>
      </w:r>
    </w:p>
    <w:p>
      <w:pPr>
        <w:spacing w:line="640" w:lineRule="exact"/>
        <w:ind w:firstLine="640" w:firstLineChars="200"/>
        <w:rPr>
          <w:rFonts w:ascii="仿宋" w:eastAsia="仿宋"/>
          <w:color w:val="000000"/>
          <w:sz w:val="32"/>
          <w:szCs w:val="32"/>
        </w:rPr>
      </w:pPr>
      <w:r>
        <w:rPr>
          <w:rFonts w:hint="eastAsia" w:ascii="仿宋" w:eastAsia="仿宋"/>
          <w:color w:val="000000"/>
          <w:sz w:val="32"/>
          <w:szCs w:val="32"/>
        </w:rPr>
        <w:t>一般公共服务支出（类）民族事务（款）其他民族事务支出（项）：支出决算为58.35万元，完成预算100%。</w:t>
      </w:r>
    </w:p>
    <w:p>
      <w:pPr>
        <w:spacing w:line="640" w:lineRule="exact"/>
        <w:ind w:firstLine="640" w:firstLineChars="200"/>
        <w:rPr>
          <w:rFonts w:ascii="仿宋" w:eastAsia="仿宋"/>
          <w:color w:val="000000"/>
          <w:sz w:val="32"/>
          <w:szCs w:val="32"/>
        </w:rPr>
      </w:pPr>
      <w:r>
        <w:rPr>
          <w:rFonts w:hint="eastAsia" w:ascii="仿宋" w:eastAsia="仿宋"/>
          <w:color w:val="000000"/>
          <w:sz w:val="32"/>
          <w:szCs w:val="32"/>
        </w:rPr>
        <w:t>一般公共服务支出（类）组织事务（款）其他组织事务支出（项）：支出决算为1.25万元，完成预算100%。</w:t>
      </w:r>
    </w:p>
    <w:p>
      <w:pPr>
        <w:spacing w:line="640" w:lineRule="exact"/>
        <w:ind w:firstLine="640" w:firstLineChars="200"/>
        <w:rPr>
          <w:rFonts w:ascii="仿宋" w:eastAsia="仿宋"/>
          <w:color w:val="000000"/>
          <w:sz w:val="32"/>
          <w:szCs w:val="32"/>
        </w:rPr>
      </w:pPr>
      <w:r>
        <w:rPr>
          <w:rFonts w:hint="eastAsia" w:ascii="仿宋" w:eastAsia="仿宋"/>
          <w:color w:val="000000"/>
          <w:sz w:val="32"/>
          <w:szCs w:val="32"/>
        </w:rPr>
        <w:t>2.社会保障和就业支出（类）行政事业单位养老支出（款）行政单位离退休（项）：支出决算数为33.08万元，完成预算100%。</w:t>
      </w:r>
    </w:p>
    <w:p>
      <w:pPr>
        <w:spacing w:line="640" w:lineRule="exact"/>
        <w:ind w:firstLine="640" w:firstLineChars="200"/>
        <w:rPr>
          <w:rFonts w:ascii="仿宋" w:eastAsia="仿宋"/>
          <w:color w:val="000000"/>
          <w:sz w:val="32"/>
          <w:szCs w:val="32"/>
        </w:rPr>
      </w:pPr>
      <w:r>
        <w:rPr>
          <w:rFonts w:hint="eastAsia" w:ascii="仿宋" w:eastAsia="仿宋"/>
          <w:color w:val="000000"/>
          <w:sz w:val="32"/>
          <w:szCs w:val="32"/>
        </w:rPr>
        <w:t>社会保障和就业支出（类）行政事业单位养老支出（款）事业单位离退休（项）：支出决算数为6.69万元，完成预算100%。</w:t>
      </w:r>
    </w:p>
    <w:p>
      <w:pPr>
        <w:spacing w:line="640" w:lineRule="exact"/>
        <w:ind w:firstLine="640" w:firstLineChars="200"/>
        <w:rPr>
          <w:rFonts w:ascii="仿宋" w:eastAsia="仿宋"/>
          <w:color w:val="000000"/>
          <w:sz w:val="32"/>
          <w:szCs w:val="32"/>
        </w:rPr>
      </w:pPr>
      <w:r>
        <w:rPr>
          <w:rFonts w:hint="eastAsia" w:ascii="仿宋" w:eastAsia="仿宋"/>
          <w:color w:val="000000"/>
          <w:sz w:val="32"/>
          <w:szCs w:val="32"/>
        </w:rPr>
        <w:t>社会保障和就业支出（类）行政事业单位养老支出（款）机关事业单位基本养老保险缴费支出（项）：支出决算数为31.26万元，完成预算100%。</w:t>
      </w:r>
    </w:p>
    <w:p>
      <w:pPr>
        <w:spacing w:line="640" w:lineRule="exact"/>
        <w:ind w:firstLine="640" w:firstLineChars="200"/>
        <w:rPr>
          <w:rFonts w:ascii="仿宋" w:eastAsia="仿宋"/>
          <w:color w:val="000000"/>
          <w:sz w:val="32"/>
          <w:szCs w:val="32"/>
        </w:rPr>
      </w:pPr>
      <w:r>
        <w:rPr>
          <w:rFonts w:hint="eastAsia" w:ascii="仿宋" w:eastAsia="仿宋"/>
          <w:color w:val="000000"/>
          <w:sz w:val="32"/>
          <w:szCs w:val="32"/>
        </w:rPr>
        <w:t>社会保障和就业支出（类）抚恤（款）死亡抚恤（项）：支出决算数为1.53万元，完成预算100%。</w:t>
      </w:r>
    </w:p>
    <w:p>
      <w:pPr>
        <w:spacing w:line="640" w:lineRule="exact"/>
        <w:ind w:firstLine="640" w:firstLineChars="200"/>
        <w:rPr>
          <w:rFonts w:ascii="仿宋" w:eastAsia="仿宋"/>
          <w:color w:val="000000"/>
          <w:sz w:val="32"/>
          <w:szCs w:val="32"/>
        </w:rPr>
      </w:pPr>
      <w:r>
        <w:rPr>
          <w:rFonts w:hint="eastAsia" w:ascii="仿宋" w:eastAsia="仿宋"/>
          <w:color w:val="000000"/>
          <w:sz w:val="32"/>
          <w:szCs w:val="32"/>
        </w:rPr>
        <w:t>社会保障和就业支出（类）社会福利（款）儿童福利（项）: 支出决算数为1.20万元，完成预算100%。</w:t>
      </w:r>
    </w:p>
    <w:p>
      <w:pPr>
        <w:spacing w:line="640" w:lineRule="exact"/>
        <w:ind w:firstLine="640" w:firstLineChars="200"/>
        <w:rPr>
          <w:rFonts w:ascii="仿宋" w:eastAsia="仿宋"/>
          <w:color w:val="000000"/>
          <w:sz w:val="32"/>
          <w:szCs w:val="32"/>
        </w:rPr>
      </w:pPr>
      <w:r>
        <w:rPr>
          <w:rFonts w:hint="eastAsia" w:ascii="仿宋" w:eastAsia="仿宋"/>
          <w:color w:val="000000"/>
          <w:sz w:val="32"/>
          <w:szCs w:val="32"/>
        </w:rPr>
        <w:t>3.农林水支出（类）其他农林水支出（款）其他农林水支出（项）: 支出决算数为83.72万元，完成预算100%。</w:t>
      </w:r>
    </w:p>
    <w:p>
      <w:pPr>
        <w:spacing w:line="640" w:lineRule="exact"/>
        <w:ind w:firstLine="640" w:firstLineChars="200"/>
        <w:rPr>
          <w:rFonts w:ascii="仿宋" w:eastAsia="仿宋"/>
          <w:sz w:val="32"/>
          <w:szCs w:val="32"/>
        </w:rPr>
      </w:pPr>
      <w:r>
        <w:rPr>
          <w:rFonts w:hint="eastAsia" w:ascii="仿宋" w:eastAsia="仿宋"/>
          <w:color w:val="000000"/>
          <w:sz w:val="32"/>
          <w:szCs w:val="32"/>
        </w:rPr>
        <w:t>4.住房保障支出（类）住房改革支出（款）住房公积金（项）：支出决算数为37.49万元，完成预算100%。</w:t>
      </w:r>
    </w:p>
    <w:p>
      <w:pPr>
        <w:tabs>
          <w:tab w:val="right" w:pos="8306"/>
        </w:tabs>
        <w:spacing w:line="600" w:lineRule="exact"/>
        <w:ind w:firstLine="640"/>
        <w:outlineLvl w:val="1"/>
        <w:rPr>
          <w:rStyle w:val="18"/>
        </w:rPr>
      </w:pPr>
      <w:bookmarkStart w:id="58" w:name="_Toc5283"/>
      <w:bookmarkStart w:id="59" w:name="_Toc15377214"/>
      <w:r>
        <w:rPr>
          <w:rFonts w:hint="eastAsia" w:ascii="黑体" w:eastAsia="黑体"/>
          <w:color w:val="000000"/>
          <w:sz w:val="32"/>
          <w:szCs w:val="32"/>
        </w:rPr>
        <w:t>六、</w:t>
      </w:r>
      <w:r>
        <w:rPr>
          <w:rFonts w:hint="eastAsia" w:ascii="黑体" w:eastAsia="黑体"/>
          <w:b/>
          <w:color w:val="000000"/>
          <w:sz w:val="32"/>
          <w:szCs w:val="32"/>
        </w:rPr>
        <w:t>一</w:t>
      </w:r>
      <w:r>
        <w:rPr>
          <w:rStyle w:val="18"/>
          <w:rFonts w:hint="eastAsia" w:ascii="黑体" w:eastAsia="黑体"/>
          <w:b w:val="0"/>
        </w:rPr>
        <w:t>般公共预算财政拨款基本支出决算情况说明</w:t>
      </w:r>
      <w:bookmarkEnd w:id="58"/>
      <w:bookmarkEnd w:id="59"/>
      <w:r>
        <w:rPr>
          <w:rStyle w:val="18"/>
          <w:rFonts w:ascii="黑体" w:eastAsia="黑体"/>
          <w:b w:val="0"/>
        </w:rPr>
        <w:tab/>
      </w:r>
    </w:p>
    <w:p>
      <w:pPr>
        <w:spacing w:line="600" w:lineRule="exact"/>
        <w:ind w:firstLine="645"/>
        <w:rPr>
          <w:rFonts w:ascii="仿宋" w:eastAsia="仿宋"/>
          <w:color w:val="000000"/>
          <w:sz w:val="32"/>
          <w:szCs w:val="32"/>
        </w:rPr>
      </w:pPr>
      <w:r>
        <w:rPr>
          <w:rFonts w:ascii="仿宋" w:eastAsia="仿宋"/>
          <w:color w:val="000000"/>
          <w:sz w:val="32"/>
          <w:szCs w:val="32"/>
        </w:rPr>
        <w:t>20</w:t>
      </w:r>
      <w:r>
        <w:rPr>
          <w:rFonts w:hint="eastAsia" w:ascii="仿宋" w:eastAsia="仿宋"/>
          <w:color w:val="000000"/>
          <w:sz w:val="32"/>
          <w:szCs w:val="32"/>
        </w:rPr>
        <w:t>21年一般公共预算财政拨款基本支出584.62万元，其中：</w:t>
      </w:r>
    </w:p>
    <w:p>
      <w:pPr>
        <w:spacing w:line="600" w:lineRule="exact"/>
        <w:ind w:firstLine="645"/>
        <w:rPr>
          <w:rFonts w:ascii="仿宋" w:eastAsia="仿宋"/>
          <w:color w:val="000000"/>
          <w:sz w:val="32"/>
          <w:szCs w:val="32"/>
        </w:rPr>
      </w:pPr>
      <w:r>
        <w:rPr>
          <w:rFonts w:hint="eastAsia" w:ascii="仿宋" w:eastAsia="仿宋"/>
          <w:color w:val="000000"/>
          <w:sz w:val="32"/>
          <w:szCs w:val="32"/>
        </w:rPr>
        <w:t>人员经费504.65万元，主要包括：基本工资、津贴补贴、奖金、绩效工资、机关事业单位基本养老保险缴费、职工基本医疗保险缴费、公务员医疗补助缴费、其他社会保障缴费、其他工资福利支出、抚恤金、生活补助、住房公积金等。</w:t>
      </w:r>
    </w:p>
    <w:p>
      <w:pPr>
        <w:spacing w:line="600" w:lineRule="exact"/>
        <w:ind w:firstLine="645"/>
        <w:rPr>
          <w:rFonts w:ascii="仿宋" w:eastAsia="仿宋"/>
          <w:color w:val="000000"/>
          <w:sz w:val="32"/>
          <w:szCs w:val="32"/>
        </w:rPr>
      </w:pPr>
      <w:r>
        <w:rPr>
          <w:rFonts w:hint="eastAsia" w:ascii="仿宋" w:eastAsia="仿宋"/>
          <w:color w:val="000000"/>
          <w:sz w:val="32"/>
          <w:szCs w:val="32"/>
        </w:rPr>
        <w:t>公用经费79.96万元，主要包括：办公费、水费、电费、邮电费、物业管理费、差旅费、培训费、公务接待费、劳务费、工会经费、福利费、公务用车运行维护费、其他交通费、其他商品和服务支出等。</w:t>
      </w:r>
    </w:p>
    <w:p>
      <w:pPr>
        <w:spacing w:line="600" w:lineRule="exact"/>
        <w:ind w:firstLine="640"/>
        <w:outlineLvl w:val="1"/>
        <w:rPr>
          <w:rStyle w:val="18"/>
          <w:rFonts w:ascii="黑体" w:eastAsia="黑体"/>
          <w:b w:val="0"/>
        </w:rPr>
      </w:pPr>
      <w:bookmarkStart w:id="60" w:name="_Toc28988"/>
      <w:bookmarkStart w:id="61" w:name="_Toc15377215"/>
      <w:r>
        <w:rPr>
          <w:rFonts w:hint="eastAsia" w:ascii="黑体" w:eastAsia="黑体"/>
          <w:color w:val="000000"/>
          <w:sz w:val="32"/>
          <w:szCs w:val="32"/>
        </w:rPr>
        <w:t>七、</w:t>
      </w:r>
      <w:r>
        <w:rPr>
          <w:rStyle w:val="18"/>
          <w:rFonts w:hint="eastAsia" w:ascii="黑体" w:eastAsia="黑体"/>
          <w:b w:val="0"/>
        </w:rPr>
        <w:t>“三公”经费财政拨款支出决算情况说明</w:t>
      </w:r>
      <w:bookmarkEnd w:id="60"/>
      <w:bookmarkEnd w:id="61"/>
    </w:p>
    <w:p>
      <w:pPr>
        <w:spacing w:line="600" w:lineRule="exact"/>
        <w:ind w:firstLine="640"/>
        <w:outlineLvl w:val="2"/>
        <w:rPr>
          <w:rFonts w:ascii="楷体" w:eastAsia="楷体"/>
          <w:b/>
          <w:color w:val="000000"/>
          <w:sz w:val="32"/>
          <w:szCs w:val="32"/>
        </w:rPr>
      </w:pPr>
      <w:bookmarkStart w:id="62" w:name="_Toc15377216"/>
      <w:r>
        <w:rPr>
          <w:rFonts w:hint="eastAsia" w:ascii="楷体" w:eastAsia="楷体"/>
          <w:b/>
          <w:color w:val="000000"/>
          <w:sz w:val="32"/>
          <w:szCs w:val="32"/>
        </w:rPr>
        <w:t>（一）“三公”经费财政拨款支出决算总体情况说明</w:t>
      </w:r>
      <w:bookmarkEnd w:id="62"/>
      <w:r>
        <w:rPr>
          <w:rFonts w:hint="eastAsia" w:ascii="楷体" w:eastAsia="楷体"/>
          <w:b/>
          <w:color w:val="000000"/>
          <w:sz w:val="32"/>
          <w:szCs w:val="32"/>
        </w:rPr>
        <w:t>。</w:t>
      </w:r>
    </w:p>
    <w:p>
      <w:pPr>
        <w:spacing w:line="600" w:lineRule="exact"/>
        <w:ind w:firstLine="640"/>
        <w:rPr>
          <w:rFonts w:ascii="仿宋" w:eastAsia="仿宋"/>
          <w:color w:val="000000"/>
          <w:sz w:val="32"/>
          <w:szCs w:val="32"/>
        </w:rPr>
      </w:pPr>
      <w:r>
        <w:rPr>
          <w:rFonts w:ascii="仿宋" w:eastAsia="仿宋"/>
          <w:color w:val="000000"/>
          <w:sz w:val="32"/>
          <w:szCs w:val="32"/>
        </w:rPr>
        <w:t>20</w:t>
      </w:r>
      <w:r>
        <w:rPr>
          <w:rFonts w:hint="eastAsia" w:ascii="仿宋" w:eastAsia="仿宋"/>
          <w:color w:val="000000"/>
          <w:sz w:val="32"/>
          <w:szCs w:val="32"/>
        </w:rPr>
        <w:t>21年“三公”经费财政拨款支出决算为7.1万元，受新冠疫情影响，完成年初预算数73.05%，完成年初调整后预算数100</w:t>
      </w:r>
      <w:r>
        <w:rPr>
          <w:rFonts w:ascii="仿宋" w:eastAsia="仿宋"/>
          <w:color w:val="000000"/>
          <w:sz w:val="32"/>
          <w:szCs w:val="32"/>
        </w:rPr>
        <w:t>%</w:t>
      </w:r>
      <w:r>
        <w:rPr>
          <w:rFonts w:hint="eastAsia" w:ascii="仿宋" w:eastAsia="仿宋"/>
          <w:color w:val="000000"/>
          <w:sz w:val="32"/>
          <w:szCs w:val="32"/>
        </w:rPr>
        <w:t>。</w:t>
      </w:r>
    </w:p>
    <w:p>
      <w:pPr>
        <w:spacing w:line="600" w:lineRule="exact"/>
        <w:ind w:firstLine="640"/>
        <w:outlineLvl w:val="2"/>
        <w:rPr>
          <w:rFonts w:ascii="楷体" w:eastAsia="楷体"/>
          <w:b/>
          <w:color w:val="000000"/>
          <w:sz w:val="32"/>
          <w:szCs w:val="32"/>
        </w:rPr>
      </w:pPr>
      <w:bookmarkStart w:id="63" w:name="_Toc15377217"/>
      <w:r>
        <w:rPr>
          <w:rFonts w:hint="eastAsia" w:ascii="楷体" w:eastAsia="楷体"/>
          <w:b/>
          <w:color w:val="000000"/>
          <w:sz w:val="32"/>
          <w:szCs w:val="32"/>
        </w:rPr>
        <w:t>（二）“三公”经费财政拨款支出决算具体情况说明</w:t>
      </w:r>
      <w:bookmarkEnd w:id="63"/>
      <w:r>
        <w:rPr>
          <w:rFonts w:hint="eastAsia" w:ascii="楷体" w:eastAsia="楷体"/>
          <w:b/>
          <w:color w:val="000000"/>
          <w:sz w:val="32"/>
          <w:szCs w:val="32"/>
        </w:rPr>
        <w:t>。</w:t>
      </w:r>
    </w:p>
    <w:p>
      <w:pPr>
        <w:spacing w:line="600" w:lineRule="exact"/>
        <w:ind w:firstLine="640"/>
        <w:rPr>
          <w:rFonts w:ascii="仿宋" w:eastAsia="仿宋"/>
          <w:color w:val="000000"/>
          <w:sz w:val="32"/>
          <w:szCs w:val="32"/>
        </w:rPr>
      </w:pPr>
      <w:r>
        <w:rPr>
          <w:rFonts w:ascii="仿宋" w:eastAsia="仿宋"/>
          <w:color w:val="000000"/>
          <w:sz w:val="32"/>
          <w:szCs w:val="32"/>
        </w:rPr>
        <w:t>20</w:t>
      </w:r>
      <w:r>
        <w:rPr>
          <w:rFonts w:hint="eastAsia" w:ascii="仿宋" w:eastAsia="仿宋"/>
          <w:color w:val="000000"/>
          <w:sz w:val="32"/>
          <w:szCs w:val="32"/>
        </w:rPr>
        <w:t>21年“三公”经费财政拨款支出决算中，因公出国（境）费支出决算0万元；公务用车购置及运行维护费支出决算5.96万元，占83.94</w:t>
      </w:r>
      <w:r>
        <w:rPr>
          <w:rFonts w:ascii="仿宋" w:eastAsia="仿宋"/>
          <w:color w:val="000000"/>
          <w:sz w:val="32"/>
          <w:szCs w:val="32"/>
        </w:rPr>
        <w:t>%</w:t>
      </w:r>
      <w:r>
        <w:rPr>
          <w:rFonts w:hint="eastAsia" w:ascii="仿宋" w:eastAsia="仿宋"/>
          <w:color w:val="000000"/>
          <w:sz w:val="32"/>
          <w:szCs w:val="32"/>
        </w:rPr>
        <w:t>；公务接待费支出决算1.14万元，占16.06</w:t>
      </w:r>
      <w:r>
        <w:rPr>
          <w:rFonts w:ascii="仿宋" w:eastAsia="仿宋"/>
          <w:color w:val="000000"/>
          <w:sz w:val="32"/>
          <w:szCs w:val="32"/>
        </w:rPr>
        <w:t>%</w:t>
      </w:r>
      <w:r>
        <w:rPr>
          <w:rFonts w:hint="eastAsia" w:ascii="仿宋" w:eastAsia="仿宋"/>
          <w:color w:val="000000"/>
          <w:sz w:val="32"/>
          <w:szCs w:val="32"/>
        </w:rPr>
        <w:t>。具体情况如下：</w:t>
      </w:r>
    </w:p>
    <w:p>
      <w:pPr>
        <w:spacing w:line="600" w:lineRule="exact"/>
        <w:ind w:firstLine="640"/>
        <w:rPr>
          <w:rFonts w:ascii="仿宋" w:eastAsia="仿宋"/>
          <w:color w:val="000000"/>
          <w:sz w:val="32"/>
          <w:szCs w:val="32"/>
        </w:rPr>
      </w:pPr>
      <w:r>
        <w:rPr>
          <w:rFonts w:hint="eastAsia" w:ascii="仿宋" w:eastAsia="仿宋"/>
          <w:color w:val="000000"/>
          <w:sz w:val="32"/>
          <w:szCs w:val="32"/>
        </w:rPr>
        <w:drawing>
          <wp:anchor distT="0" distB="0" distL="114300" distR="114300" simplePos="0" relativeHeight="1024" behindDoc="1" locked="0" layoutInCell="1" allowOverlap="1">
            <wp:simplePos x="0" y="0"/>
            <wp:positionH relativeFrom="column">
              <wp:posOffset>400050</wp:posOffset>
            </wp:positionH>
            <wp:positionV relativeFrom="paragraph">
              <wp:posOffset>160655</wp:posOffset>
            </wp:positionV>
            <wp:extent cx="4968875" cy="1924685"/>
            <wp:effectExtent l="0" t="0" r="0" b="0"/>
            <wp:wrapNone/>
            <wp:docPr id="7" name="对象 3"/>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tabs>
          <w:tab w:val="left" w:pos="3780"/>
        </w:tabs>
        <w:spacing w:line="600" w:lineRule="exact"/>
        <w:ind w:firstLine="640"/>
        <w:rPr>
          <w:rFonts w:ascii="仿宋" w:eastAsia="仿宋"/>
          <w:color w:val="000000"/>
          <w:sz w:val="32"/>
          <w:szCs w:val="32"/>
        </w:rPr>
      </w:pPr>
      <w:r>
        <w:rPr>
          <w:rFonts w:ascii="仿宋" w:eastAsia="仿宋"/>
          <w:color w:val="000000"/>
          <w:sz w:val="32"/>
          <w:szCs w:val="32"/>
        </w:rPr>
        <w:tab/>
      </w: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r>
        <w:rPr>
          <w:rFonts w:hint="eastAsia" w:ascii="仿宋" w:eastAsia="仿宋"/>
          <w:color w:val="000000"/>
          <w:sz w:val="32"/>
          <w:szCs w:val="32"/>
        </w:rPr>
        <w:t>（图8：“三公”经费财政拨款支出结构）（饼状图）</w:t>
      </w:r>
    </w:p>
    <w:p>
      <w:pPr>
        <w:spacing w:line="600" w:lineRule="exact"/>
        <w:ind w:firstLine="640"/>
        <w:rPr>
          <w:rFonts w:ascii="仿宋" w:hAnsi="仿宋" w:eastAsia="仿宋_GB2312"/>
          <w:color w:val="000000"/>
          <w:sz w:val="32"/>
          <w:szCs w:val="32"/>
        </w:rPr>
      </w:pPr>
      <w:r>
        <w:rPr>
          <w:rFonts w:ascii="仿宋" w:eastAsia="仿宋"/>
          <w:color w:val="000000"/>
          <w:sz w:val="32"/>
          <w:szCs w:val="32"/>
        </w:rPr>
        <w:t>1.</w:t>
      </w:r>
      <w:r>
        <w:rPr>
          <w:rFonts w:hint="eastAsia" w:ascii="仿宋" w:eastAsia="仿宋"/>
          <w:color w:val="000000"/>
          <w:sz w:val="32"/>
          <w:szCs w:val="32"/>
        </w:rPr>
        <w:t>因公出国（境）经费支出0万元，</w:t>
      </w:r>
      <w:r>
        <w:rPr>
          <w:rStyle w:val="14"/>
          <w:rFonts w:hint="eastAsia" w:ascii="仿宋" w:eastAsia="仿宋"/>
          <w:b w:val="0"/>
          <w:bCs/>
          <w:color w:val="000000"/>
          <w:sz w:val="32"/>
          <w:szCs w:val="32"/>
        </w:rPr>
        <w:t>完成预算0</w:t>
      </w:r>
      <w:r>
        <w:rPr>
          <w:rStyle w:val="14"/>
          <w:rFonts w:ascii="仿宋" w:eastAsia="仿宋"/>
          <w:b w:val="0"/>
          <w:bCs/>
          <w:color w:val="000000"/>
          <w:sz w:val="32"/>
          <w:szCs w:val="32"/>
        </w:rPr>
        <w:t>%</w:t>
      </w:r>
      <w:r>
        <w:rPr>
          <w:rStyle w:val="14"/>
          <w:rFonts w:hint="eastAsia" w:ascii="仿宋" w:eastAsia="仿宋"/>
          <w:b w:val="0"/>
          <w:bCs/>
          <w:color w:val="000000"/>
          <w:sz w:val="32"/>
          <w:szCs w:val="32"/>
        </w:rPr>
        <w:t>。</w:t>
      </w:r>
      <w:r>
        <w:rPr>
          <w:rFonts w:hint="eastAsia" w:ascii="仿宋" w:eastAsia="仿宋"/>
          <w:color w:val="000000"/>
          <w:sz w:val="32"/>
          <w:szCs w:val="32"/>
        </w:rPr>
        <w:t>全年安排因公出国（境）团组0次，出国（境）0人。</w:t>
      </w:r>
      <w:r>
        <w:rPr>
          <w:rFonts w:hint="eastAsia" w:ascii="仿宋_GB2312" w:eastAsia="仿宋_GB2312"/>
          <w:sz w:val="32"/>
          <w:szCs w:val="32"/>
        </w:rPr>
        <w:t>因公出国（境）支出决算与2020年持平。</w:t>
      </w:r>
    </w:p>
    <w:p>
      <w:pPr>
        <w:spacing w:line="600" w:lineRule="exact"/>
        <w:ind w:firstLine="640"/>
        <w:rPr>
          <w:rFonts w:ascii="仿宋" w:eastAsia="仿宋"/>
          <w:b/>
          <w:color w:val="000000"/>
          <w:sz w:val="32"/>
          <w:szCs w:val="32"/>
        </w:rPr>
      </w:pPr>
      <w:r>
        <w:rPr>
          <w:rFonts w:ascii="仿宋" w:eastAsia="仿宋"/>
          <w:color w:val="000000"/>
          <w:sz w:val="32"/>
          <w:szCs w:val="32"/>
        </w:rPr>
        <w:t>2.</w:t>
      </w:r>
      <w:r>
        <w:rPr>
          <w:rFonts w:hint="eastAsia" w:ascii="仿宋" w:eastAsia="仿宋"/>
          <w:color w:val="000000"/>
          <w:sz w:val="32"/>
          <w:szCs w:val="32"/>
        </w:rPr>
        <w:t>公务用车购置及运行维护费支出5.96万元,</w:t>
      </w:r>
      <w:r>
        <w:rPr>
          <w:rStyle w:val="14"/>
          <w:rFonts w:hint="eastAsia" w:ascii="仿宋" w:eastAsia="仿宋"/>
          <w:b w:val="0"/>
          <w:bCs/>
          <w:color w:val="000000"/>
          <w:sz w:val="32"/>
          <w:szCs w:val="32"/>
        </w:rPr>
        <w:t>完成年初预算数73.58%，完成年初调整后预算数100</w:t>
      </w:r>
      <w:r>
        <w:rPr>
          <w:rStyle w:val="14"/>
          <w:rFonts w:ascii="仿宋" w:eastAsia="仿宋"/>
          <w:b w:val="0"/>
          <w:bCs/>
          <w:color w:val="000000"/>
          <w:sz w:val="32"/>
          <w:szCs w:val="32"/>
        </w:rPr>
        <w:t>%</w:t>
      </w:r>
      <w:r>
        <w:rPr>
          <w:rStyle w:val="14"/>
          <w:rFonts w:hint="eastAsia" w:ascii="仿宋" w:eastAsia="仿宋"/>
          <w:b w:val="0"/>
          <w:bCs/>
          <w:color w:val="000000"/>
          <w:sz w:val="32"/>
          <w:szCs w:val="32"/>
        </w:rPr>
        <w:t>。</w:t>
      </w:r>
      <w:r>
        <w:rPr>
          <w:rFonts w:hint="eastAsia" w:ascii="仿宋" w:eastAsia="仿宋"/>
          <w:color w:val="000000"/>
          <w:sz w:val="32"/>
          <w:szCs w:val="32"/>
        </w:rPr>
        <w:t>公务用车购置及运行维护费支出决算比2020年增加0.51万元，增长9.36</w:t>
      </w:r>
      <w:r>
        <w:rPr>
          <w:rFonts w:ascii="仿宋" w:eastAsia="仿宋"/>
          <w:color w:val="000000"/>
          <w:sz w:val="32"/>
          <w:szCs w:val="32"/>
        </w:rPr>
        <w:t>%</w:t>
      </w:r>
      <w:r>
        <w:rPr>
          <w:rFonts w:hint="eastAsia" w:ascii="仿宋" w:eastAsia="仿宋"/>
          <w:color w:val="000000"/>
          <w:sz w:val="32"/>
          <w:szCs w:val="32"/>
        </w:rPr>
        <w:t>。主要原因是公务车辆随着使用年限增加，运行维护费用增长。</w:t>
      </w:r>
    </w:p>
    <w:p>
      <w:pPr>
        <w:spacing w:line="600" w:lineRule="exact"/>
        <w:ind w:firstLine="640" w:firstLineChars="200"/>
        <w:rPr>
          <w:rFonts w:ascii="仿宋" w:eastAsia="仿宋"/>
          <w:b/>
          <w:color w:val="000000"/>
          <w:sz w:val="32"/>
          <w:szCs w:val="32"/>
        </w:rPr>
      </w:pPr>
      <w:r>
        <w:rPr>
          <w:rFonts w:hint="eastAsia" w:ascii="仿宋" w:eastAsia="仿宋"/>
          <w:color w:val="000000"/>
          <w:sz w:val="32"/>
          <w:szCs w:val="32"/>
        </w:rPr>
        <w:t>其中：公务用车购置支出0万元。全年按规定更新购置公务用车0辆。截至</w:t>
      </w:r>
      <w:r>
        <w:rPr>
          <w:rFonts w:ascii="仿宋" w:eastAsia="仿宋"/>
          <w:color w:val="000000"/>
          <w:sz w:val="32"/>
          <w:szCs w:val="32"/>
        </w:rPr>
        <w:t>20</w:t>
      </w:r>
      <w:r>
        <w:rPr>
          <w:rFonts w:hint="eastAsia" w:ascii="仿宋" w:eastAsia="仿宋"/>
          <w:color w:val="000000"/>
          <w:sz w:val="32"/>
          <w:szCs w:val="32"/>
        </w:rPr>
        <w:t>21年</w:t>
      </w:r>
      <w:r>
        <w:rPr>
          <w:rFonts w:ascii="仿宋" w:eastAsia="仿宋"/>
          <w:color w:val="000000"/>
          <w:sz w:val="32"/>
          <w:szCs w:val="32"/>
        </w:rPr>
        <w:t>12</w:t>
      </w:r>
      <w:r>
        <w:rPr>
          <w:rFonts w:hint="eastAsia" w:ascii="仿宋" w:eastAsia="仿宋"/>
          <w:color w:val="000000"/>
          <w:sz w:val="32"/>
          <w:szCs w:val="32"/>
        </w:rPr>
        <w:t>月底，单位共有公务用车2辆，其中：轿车0辆、越野车2辆。</w:t>
      </w:r>
    </w:p>
    <w:p>
      <w:pPr>
        <w:spacing w:line="600" w:lineRule="exact"/>
        <w:ind w:firstLine="640"/>
        <w:rPr>
          <w:rFonts w:ascii="仿宋" w:eastAsia="仿宋"/>
          <w:color w:val="000000"/>
          <w:sz w:val="32"/>
          <w:szCs w:val="32"/>
        </w:rPr>
      </w:pPr>
      <w:r>
        <w:rPr>
          <w:rFonts w:hint="eastAsia" w:ascii="仿宋" w:eastAsia="仿宋"/>
          <w:color w:val="000000"/>
          <w:sz w:val="32"/>
          <w:szCs w:val="32"/>
        </w:rPr>
        <w:t>公务用车运行维护费支出5.96万元。主要</w:t>
      </w:r>
      <w:r>
        <w:rPr>
          <w:rFonts w:hint="eastAsia" w:ascii="仿宋" w:eastAsia="仿宋"/>
          <w:sz w:val="32"/>
          <w:szCs w:val="32"/>
        </w:rPr>
        <w:t>用于组织开展民族团结进步创建活动、开展民族团结宣传教育、维护社会稳定、指导协调宗教事务，参与协调民区经济社会发展，调研民族乡（镇）等所需</w:t>
      </w:r>
      <w:r>
        <w:rPr>
          <w:rFonts w:hint="eastAsia" w:ascii="仿宋" w:eastAsia="仿宋"/>
          <w:color w:val="000000"/>
          <w:sz w:val="32"/>
          <w:szCs w:val="32"/>
        </w:rPr>
        <w:t>的公务用车燃料费、维修费、过路过桥费、保险费等支出。</w:t>
      </w:r>
    </w:p>
    <w:p>
      <w:pPr>
        <w:spacing w:line="600" w:lineRule="exact"/>
        <w:ind w:firstLine="640"/>
        <w:rPr>
          <w:rFonts w:ascii="仿宋" w:eastAsia="仿宋"/>
          <w:color w:val="000000"/>
          <w:sz w:val="32"/>
          <w:szCs w:val="32"/>
        </w:rPr>
      </w:pPr>
      <w:r>
        <w:rPr>
          <w:rFonts w:ascii="仿宋" w:eastAsia="仿宋"/>
          <w:color w:val="000000"/>
          <w:sz w:val="32"/>
          <w:szCs w:val="32"/>
        </w:rPr>
        <w:t>3.</w:t>
      </w:r>
      <w:r>
        <w:rPr>
          <w:rFonts w:hint="eastAsia" w:ascii="仿宋" w:eastAsia="仿宋"/>
          <w:color w:val="000000"/>
          <w:sz w:val="32"/>
          <w:szCs w:val="32"/>
        </w:rPr>
        <w:t>公务接待费支出1.14万元，</w:t>
      </w:r>
      <w:r>
        <w:rPr>
          <w:rStyle w:val="14"/>
          <w:rFonts w:hint="eastAsia" w:ascii="仿宋" w:eastAsia="仿宋"/>
          <w:b w:val="0"/>
          <w:bCs/>
          <w:color w:val="000000"/>
          <w:sz w:val="32"/>
          <w:szCs w:val="32"/>
        </w:rPr>
        <w:t>完成年初预算数70.37%，完成年初调整后预算数100</w:t>
      </w:r>
      <w:r>
        <w:rPr>
          <w:rStyle w:val="14"/>
          <w:rFonts w:ascii="仿宋" w:eastAsia="仿宋"/>
          <w:b w:val="0"/>
          <w:bCs/>
          <w:color w:val="000000"/>
          <w:sz w:val="32"/>
          <w:szCs w:val="32"/>
        </w:rPr>
        <w:t>%</w:t>
      </w:r>
      <w:r>
        <w:rPr>
          <w:rStyle w:val="14"/>
          <w:rFonts w:hint="eastAsia" w:ascii="仿宋" w:eastAsia="仿宋"/>
          <w:b w:val="0"/>
          <w:bCs/>
          <w:color w:val="000000"/>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20年增加0.56万元，增长96.55</w:t>
      </w:r>
      <w:r>
        <w:rPr>
          <w:rFonts w:ascii="仿宋_GB2312" w:eastAsia="仿宋_GB2312"/>
          <w:sz w:val="32"/>
          <w:szCs w:val="32"/>
        </w:rPr>
        <w:t>%</w:t>
      </w:r>
      <w:r>
        <w:rPr>
          <w:rFonts w:hint="eastAsia" w:ascii="仿宋_GB2312" w:eastAsia="仿宋_GB2312"/>
          <w:sz w:val="32"/>
          <w:szCs w:val="32"/>
        </w:rPr>
        <w:t>。主要原因是与省级部门对接沟通工作增多，省级有关部门来调研、对接工作较上年变多。</w:t>
      </w:r>
    </w:p>
    <w:p>
      <w:pPr>
        <w:spacing w:line="600" w:lineRule="exact"/>
        <w:ind w:firstLine="640" w:firstLineChars="200"/>
        <w:rPr>
          <w:rFonts w:ascii="仿宋" w:eastAsia="仿宋"/>
          <w:color w:val="000000"/>
          <w:sz w:val="32"/>
          <w:szCs w:val="32"/>
        </w:rPr>
      </w:pPr>
      <w:r>
        <w:rPr>
          <w:rFonts w:hint="eastAsia" w:ascii="仿宋" w:eastAsia="仿宋"/>
          <w:sz w:val="32"/>
          <w:szCs w:val="32"/>
        </w:rPr>
        <w:t>国内公务接待支出1.14万元，主要用于执行公务、开展业务活动开支的用餐费等。国内公务接待7批次，55人次（不包括陪同人员），共计支出1.14万元。具体开支内容包括：接待省城市民族工作调研组来攀调研指导工作10人次，支出0.18万元；接待德阳市民宗局来攀学习交流5人次，支出0.11万元；接待省民宗委来攀工作调研4人次，支出0.11万元；接待省委宗教工作领导小组到攀调研8人次，支出0.17万元；接待省委统战部调研组来攀调研4人次，支出0.1万元；接待省民宗委来攀调研少数民族特色村寨事宜20人次，支出0.38万元；接待省民宗委来攀工作调研4人次，支出0.09万元。</w:t>
      </w:r>
    </w:p>
    <w:p>
      <w:pPr>
        <w:spacing w:line="600" w:lineRule="exact"/>
        <w:ind w:firstLine="640" w:firstLineChars="200"/>
        <w:rPr>
          <w:rFonts w:ascii="仿宋" w:eastAsia="仿宋"/>
          <w:color w:val="000000"/>
          <w:sz w:val="32"/>
          <w:szCs w:val="32"/>
        </w:rPr>
      </w:pPr>
      <w:r>
        <w:rPr>
          <w:rFonts w:hint="eastAsia" w:ascii="仿宋" w:eastAsia="仿宋"/>
          <w:color w:val="000000"/>
          <w:sz w:val="32"/>
          <w:szCs w:val="32"/>
        </w:rPr>
        <w:t>外事接待支出0万元，外事接待0批次，0人。</w:t>
      </w:r>
    </w:p>
    <w:p>
      <w:pPr>
        <w:spacing w:line="600" w:lineRule="exact"/>
        <w:ind w:firstLine="640"/>
        <w:outlineLvl w:val="1"/>
        <w:rPr>
          <w:rStyle w:val="18"/>
          <w:rFonts w:ascii="黑体" w:eastAsia="黑体"/>
        </w:rPr>
      </w:pPr>
      <w:bookmarkStart w:id="64" w:name="_Toc13187"/>
      <w:bookmarkStart w:id="65" w:name="_Toc15377218"/>
      <w:r>
        <w:rPr>
          <w:rFonts w:hint="eastAsia" w:ascii="黑体" w:eastAsia="黑体"/>
          <w:color w:val="000000"/>
          <w:sz w:val="32"/>
          <w:szCs w:val="32"/>
        </w:rPr>
        <w:t>八、</w:t>
      </w:r>
      <w:r>
        <w:rPr>
          <w:rStyle w:val="18"/>
          <w:rFonts w:hint="eastAsia" w:ascii="黑体" w:eastAsia="黑体"/>
          <w:b w:val="0"/>
        </w:rPr>
        <w:t>政府性基金预算支出决算情况说明</w:t>
      </w:r>
      <w:bookmarkEnd w:id="64"/>
      <w:bookmarkEnd w:id="65"/>
    </w:p>
    <w:p>
      <w:pPr>
        <w:spacing w:line="600" w:lineRule="exact"/>
        <w:ind w:firstLine="640"/>
        <w:rPr>
          <w:rFonts w:ascii="仿宋" w:eastAsia="仿宋"/>
          <w:color w:val="000000"/>
          <w:sz w:val="32"/>
          <w:szCs w:val="32"/>
        </w:rPr>
      </w:pPr>
      <w:r>
        <w:rPr>
          <w:rFonts w:ascii="仿宋" w:eastAsia="仿宋"/>
          <w:color w:val="000000"/>
          <w:sz w:val="32"/>
          <w:szCs w:val="32"/>
        </w:rPr>
        <w:t>20</w:t>
      </w:r>
      <w:r>
        <w:rPr>
          <w:rFonts w:hint="eastAsia" w:ascii="仿宋" w:eastAsia="仿宋"/>
          <w:color w:val="000000"/>
          <w:sz w:val="32"/>
          <w:szCs w:val="32"/>
        </w:rPr>
        <w:t>21年政府性基金预算拨款支出5万元。</w:t>
      </w:r>
    </w:p>
    <w:p>
      <w:pPr>
        <w:numPr>
          <w:ilvl w:val="0"/>
          <w:numId w:val="1"/>
        </w:numPr>
        <w:spacing w:line="600" w:lineRule="exact"/>
        <w:ind w:left="0" w:firstLine="640"/>
        <w:outlineLvl w:val="1"/>
        <w:rPr>
          <w:rStyle w:val="18"/>
          <w:rFonts w:ascii="黑体" w:eastAsia="黑体"/>
          <w:b w:val="0"/>
        </w:rPr>
      </w:pPr>
      <w:bookmarkStart w:id="66" w:name="_Toc30762"/>
      <w:bookmarkStart w:id="67" w:name="_Toc15377219"/>
      <w:r>
        <w:rPr>
          <w:rStyle w:val="18"/>
          <w:rFonts w:hint="eastAsia" w:ascii="黑体" w:eastAsia="黑体"/>
          <w:b w:val="0"/>
        </w:rPr>
        <w:t>国有资本经营预算支出决算情况说明</w:t>
      </w:r>
      <w:bookmarkEnd w:id="66"/>
      <w:bookmarkEnd w:id="67"/>
    </w:p>
    <w:p>
      <w:pPr>
        <w:spacing w:line="600" w:lineRule="exact"/>
        <w:ind w:firstLine="640"/>
        <w:rPr>
          <w:rFonts w:ascii="仿宋" w:eastAsia="仿宋"/>
          <w:color w:val="000000"/>
          <w:sz w:val="32"/>
          <w:szCs w:val="32"/>
        </w:rPr>
      </w:pPr>
      <w:r>
        <w:rPr>
          <w:rFonts w:ascii="仿宋" w:eastAsia="仿宋"/>
          <w:color w:val="000000"/>
          <w:sz w:val="32"/>
          <w:szCs w:val="32"/>
        </w:rPr>
        <w:t>20</w:t>
      </w:r>
      <w:r>
        <w:rPr>
          <w:rFonts w:hint="eastAsia" w:ascii="仿宋" w:eastAsia="仿宋"/>
          <w:color w:val="000000"/>
          <w:sz w:val="32"/>
          <w:szCs w:val="32"/>
        </w:rPr>
        <w:t>21年国有资本经营预算拨款支出0万元。</w:t>
      </w:r>
      <w:bookmarkStart w:id="68" w:name="_Toc15377221"/>
    </w:p>
    <w:p>
      <w:pPr>
        <w:numPr>
          <w:ilvl w:val="0"/>
          <w:numId w:val="1"/>
        </w:numPr>
        <w:spacing w:line="600" w:lineRule="exact"/>
        <w:ind w:left="0" w:firstLine="640"/>
        <w:outlineLvl w:val="1"/>
        <w:rPr>
          <w:rStyle w:val="18"/>
          <w:rFonts w:hint="eastAsia" w:ascii="黑体" w:eastAsia="黑体"/>
          <w:b w:val="0"/>
        </w:rPr>
      </w:pPr>
      <w:bookmarkStart w:id="69" w:name="_Toc3249"/>
      <w:r>
        <w:rPr>
          <w:rStyle w:val="18"/>
          <w:rFonts w:hint="eastAsia" w:ascii="黑体" w:eastAsia="黑体"/>
          <w:b w:val="0"/>
        </w:rPr>
        <w:t>其他重要事项的情况说明</w:t>
      </w:r>
      <w:bookmarkEnd w:id="68"/>
      <w:bookmarkEnd w:id="69"/>
    </w:p>
    <w:p>
      <w:pPr>
        <w:spacing w:line="600" w:lineRule="exact"/>
        <w:ind w:firstLine="642" w:firstLineChars="200"/>
        <w:outlineLvl w:val="2"/>
        <w:rPr>
          <w:rFonts w:ascii="楷体" w:eastAsia="楷体"/>
          <w:color w:val="000000"/>
          <w:sz w:val="32"/>
          <w:szCs w:val="32"/>
        </w:rPr>
      </w:pPr>
      <w:bookmarkStart w:id="70" w:name="_Toc15377222"/>
      <w:r>
        <w:rPr>
          <w:rFonts w:hint="eastAsia" w:ascii="楷体" w:eastAsia="楷体"/>
          <w:b/>
          <w:color w:val="000000"/>
          <w:sz w:val="32"/>
          <w:szCs w:val="32"/>
        </w:rPr>
        <w:t>（一）机关运行经费支出情况</w:t>
      </w:r>
      <w:bookmarkEnd w:id="70"/>
      <w:r>
        <w:rPr>
          <w:rFonts w:hint="eastAsia" w:ascii="楷体" w:eastAsia="楷体"/>
          <w:b/>
          <w:color w:val="000000"/>
          <w:sz w:val="32"/>
          <w:szCs w:val="32"/>
        </w:rPr>
        <w:t>。</w:t>
      </w:r>
    </w:p>
    <w:p>
      <w:pPr>
        <w:spacing w:line="600" w:lineRule="exact"/>
        <w:ind w:firstLine="640" w:firstLineChars="200"/>
        <w:rPr>
          <w:rFonts w:ascii="仿宋" w:eastAsia="仿宋"/>
          <w:color w:val="000000"/>
          <w:sz w:val="32"/>
          <w:szCs w:val="32"/>
        </w:rPr>
      </w:pPr>
      <w:r>
        <w:rPr>
          <w:rFonts w:ascii="仿宋" w:eastAsia="仿宋"/>
          <w:color w:val="000000"/>
          <w:sz w:val="32"/>
          <w:szCs w:val="32"/>
        </w:rPr>
        <w:t>20</w:t>
      </w:r>
      <w:r>
        <w:rPr>
          <w:rFonts w:hint="eastAsia" w:ascii="仿宋" w:eastAsia="仿宋"/>
          <w:color w:val="000000"/>
          <w:sz w:val="32"/>
          <w:szCs w:val="32"/>
        </w:rPr>
        <w:t>21年，攀枝花市民族宗教事务委员会机关运行经费支出79.99万元，比</w:t>
      </w:r>
      <w:r>
        <w:rPr>
          <w:rFonts w:ascii="仿宋" w:eastAsia="仿宋"/>
          <w:color w:val="000000"/>
          <w:sz w:val="32"/>
          <w:szCs w:val="32"/>
        </w:rPr>
        <w:t>20</w:t>
      </w:r>
      <w:r>
        <w:rPr>
          <w:rFonts w:hint="eastAsia" w:ascii="仿宋" w:eastAsia="仿宋"/>
          <w:color w:val="000000"/>
          <w:sz w:val="32"/>
          <w:szCs w:val="32"/>
        </w:rPr>
        <w:t>20年减少13.32万元，减少14.27</w:t>
      </w:r>
      <w:r>
        <w:rPr>
          <w:rFonts w:ascii="仿宋" w:eastAsia="仿宋"/>
          <w:color w:val="000000"/>
          <w:sz w:val="32"/>
          <w:szCs w:val="32"/>
        </w:rPr>
        <w:t>%</w:t>
      </w:r>
      <w:r>
        <w:rPr>
          <w:rFonts w:hint="eastAsia" w:ascii="仿宋" w:eastAsia="仿宋"/>
          <w:color w:val="000000"/>
          <w:sz w:val="32"/>
          <w:szCs w:val="32"/>
        </w:rPr>
        <w:t>。主要原因是人员减少导致机关运行经费支出减少。</w:t>
      </w:r>
    </w:p>
    <w:p>
      <w:pPr>
        <w:autoSpaceDE w:val="0"/>
        <w:autoSpaceDN w:val="0"/>
        <w:adjustRightInd w:val="0"/>
        <w:spacing w:line="600" w:lineRule="exact"/>
        <w:ind w:firstLine="642" w:firstLineChars="200"/>
        <w:jc w:val="left"/>
        <w:outlineLvl w:val="2"/>
        <w:rPr>
          <w:rFonts w:ascii="楷体" w:eastAsia="楷体"/>
          <w:b/>
          <w:color w:val="000000"/>
          <w:sz w:val="32"/>
          <w:szCs w:val="32"/>
        </w:rPr>
      </w:pPr>
      <w:bookmarkStart w:id="71" w:name="_Toc15377223"/>
      <w:r>
        <w:rPr>
          <w:rFonts w:hint="eastAsia" w:ascii="楷体" w:eastAsia="楷体"/>
          <w:b/>
          <w:color w:val="000000"/>
          <w:sz w:val="32"/>
          <w:szCs w:val="32"/>
        </w:rPr>
        <w:t>（二）政府采购支出情况</w:t>
      </w:r>
      <w:bookmarkEnd w:id="71"/>
      <w:r>
        <w:rPr>
          <w:rFonts w:hint="eastAsia" w:ascii="楷体" w:eastAsia="楷体"/>
          <w:b/>
          <w:color w:val="000000"/>
          <w:sz w:val="32"/>
          <w:szCs w:val="32"/>
        </w:rPr>
        <w:t>。</w:t>
      </w:r>
    </w:p>
    <w:p>
      <w:pPr>
        <w:spacing w:line="600" w:lineRule="exact"/>
        <w:ind w:firstLine="640" w:firstLineChars="200"/>
        <w:rPr>
          <w:rFonts w:ascii="仿宋" w:eastAsia="仿宋"/>
          <w:color w:val="000000"/>
          <w:sz w:val="32"/>
          <w:szCs w:val="32"/>
        </w:rPr>
      </w:pPr>
      <w:r>
        <w:rPr>
          <w:rFonts w:ascii="仿宋" w:eastAsia="仿宋"/>
          <w:color w:val="000000"/>
          <w:sz w:val="32"/>
          <w:szCs w:val="32"/>
        </w:rPr>
        <w:t>20</w:t>
      </w:r>
      <w:r>
        <w:rPr>
          <w:rFonts w:hint="eastAsia" w:ascii="仿宋" w:eastAsia="仿宋"/>
          <w:color w:val="000000"/>
          <w:sz w:val="32"/>
          <w:szCs w:val="32"/>
        </w:rPr>
        <w:t>21年，攀枝花市民族宗教事务委员会政府采购支出总额1.996万元，其中：政府采购货物支出1.996万元、政府采购工程支出0万元、政府采购服务支出0万元。主要用于</w:t>
      </w:r>
      <w:r>
        <w:rPr>
          <w:rFonts w:hint="eastAsia" w:ascii="仿宋" w:eastAsia="仿宋"/>
          <w:sz w:val="32"/>
          <w:szCs w:val="32"/>
        </w:rPr>
        <w:t>办公设备的购置</w:t>
      </w:r>
      <w:r>
        <w:rPr>
          <w:rFonts w:hint="eastAsia" w:ascii="仿宋" w:eastAsia="仿宋"/>
          <w:color w:val="000000"/>
          <w:sz w:val="32"/>
          <w:szCs w:val="32"/>
        </w:rPr>
        <w:t>。授予中小企业合同金额1.996万元，占政府采购支出总额的100</w:t>
      </w:r>
      <w:r>
        <w:rPr>
          <w:rFonts w:ascii="仿宋" w:eastAsia="仿宋"/>
          <w:color w:val="000000"/>
          <w:sz w:val="32"/>
          <w:szCs w:val="32"/>
        </w:rPr>
        <w:t>%</w:t>
      </w:r>
      <w:r>
        <w:rPr>
          <w:rFonts w:hint="eastAsia" w:ascii="仿宋" w:eastAsia="仿宋"/>
          <w:color w:val="000000"/>
          <w:sz w:val="32"/>
          <w:szCs w:val="32"/>
        </w:rPr>
        <w:t>，其中：授予小微企业合同金额0万元。</w:t>
      </w:r>
    </w:p>
    <w:p>
      <w:pPr>
        <w:autoSpaceDE w:val="0"/>
        <w:autoSpaceDN w:val="0"/>
        <w:adjustRightInd w:val="0"/>
        <w:spacing w:line="600" w:lineRule="exact"/>
        <w:ind w:firstLine="642" w:firstLineChars="200"/>
        <w:jc w:val="left"/>
        <w:outlineLvl w:val="2"/>
        <w:rPr>
          <w:rFonts w:ascii="楷体" w:eastAsia="楷体"/>
          <w:b/>
          <w:color w:val="000000"/>
          <w:sz w:val="32"/>
          <w:szCs w:val="32"/>
        </w:rPr>
      </w:pPr>
      <w:bookmarkStart w:id="72" w:name="_Toc15377224"/>
      <w:r>
        <w:rPr>
          <w:rFonts w:hint="eastAsia" w:ascii="楷体" w:eastAsia="楷体"/>
          <w:b/>
          <w:color w:val="000000"/>
          <w:sz w:val="32"/>
          <w:szCs w:val="32"/>
        </w:rPr>
        <w:t>（三）国有资产占有使用情况</w:t>
      </w:r>
      <w:bookmarkEnd w:id="72"/>
      <w:r>
        <w:rPr>
          <w:rFonts w:hint="eastAsia" w:ascii="楷体" w:eastAsia="楷体"/>
          <w:b/>
          <w:color w:val="000000"/>
          <w:sz w:val="32"/>
          <w:szCs w:val="32"/>
        </w:rPr>
        <w:t>。</w:t>
      </w:r>
    </w:p>
    <w:p>
      <w:pPr>
        <w:autoSpaceDE w:val="0"/>
        <w:autoSpaceDN w:val="0"/>
        <w:adjustRightInd w:val="0"/>
        <w:spacing w:line="600" w:lineRule="exact"/>
        <w:ind w:firstLine="640" w:firstLineChars="200"/>
        <w:jc w:val="left"/>
        <w:rPr>
          <w:rFonts w:ascii="仿宋" w:eastAsia="仿宋"/>
          <w:color w:val="000000"/>
          <w:sz w:val="32"/>
          <w:szCs w:val="32"/>
        </w:rPr>
      </w:pPr>
      <w:r>
        <w:rPr>
          <w:rFonts w:hint="eastAsia" w:ascii="仿宋" w:eastAsia="仿宋"/>
          <w:color w:val="000000"/>
          <w:sz w:val="32"/>
          <w:szCs w:val="32"/>
        </w:rPr>
        <w:t>截至</w:t>
      </w:r>
      <w:r>
        <w:rPr>
          <w:rFonts w:ascii="仿宋" w:eastAsia="仿宋"/>
          <w:color w:val="000000"/>
          <w:sz w:val="32"/>
          <w:szCs w:val="32"/>
        </w:rPr>
        <w:t>20</w:t>
      </w:r>
      <w:r>
        <w:rPr>
          <w:rFonts w:hint="eastAsia" w:ascii="仿宋" w:eastAsia="仿宋"/>
          <w:color w:val="000000"/>
          <w:sz w:val="32"/>
          <w:szCs w:val="32"/>
        </w:rPr>
        <w:t>21年</w:t>
      </w:r>
      <w:r>
        <w:rPr>
          <w:rFonts w:ascii="仿宋" w:eastAsia="仿宋"/>
          <w:color w:val="000000"/>
          <w:sz w:val="32"/>
          <w:szCs w:val="32"/>
        </w:rPr>
        <w:t>12</w:t>
      </w:r>
      <w:r>
        <w:rPr>
          <w:rFonts w:hint="eastAsia" w:ascii="仿宋" w:eastAsia="仿宋"/>
          <w:color w:val="000000"/>
          <w:sz w:val="32"/>
          <w:szCs w:val="32"/>
        </w:rPr>
        <w:t>月</w:t>
      </w:r>
      <w:r>
        <w:rPr>
          <w:rFonts w:ascii="仿宋" w:eastAsia="仿宋"/>
          <w:color w:val="000000"/>
          <w:sz w:val="32"/>
          <w:szCs w:val="32"/>
        </w:rPr>
        <w:t>31</w:t>
      </w:r>
      <w:r>
        <w:rPr>
          <w:rFonts w:hint="eastAsia" w:ascii="仿宋" w:eastAsia="仿宋"/>
          <w:color w:val="000000"/>
          <w:sz w:val="32"/>
          <w:szCs w:val="32"/>
        </w:rPr>
        <w:t>日，攀枝花市民族宗教事务委员会共有车辆2辆，其中：部级领导干部用车0辆、一般公务用车2辆、一般执法执勤用车0辆、特种专业技术用车0辆、其他用车0辆。单价</w:t>
      </w:r>
      <w:r>
        <w:rPr>
          <w:rFonts w:ascii="仿宋" w:eastAsia="仿宋"/>
          <w:color w:val="000000"/>
          <w:sz w:val="32"/>
          <w:szCs w:val="32"/>
        </w:rPr>
        <w:t>50</w:t>
      </w:r>
      <w:r>
        <w:rPr>
          <w:rFonts w:hint="eastAsia" w:ascii="仿宋" w:eastAsia="仿宋"/>
          <w:color w:val="000000"/>
          <w:sz w:val="32"/>
          <w:szCs w:val="32"/>
        </w:rPr>
        <w:t>万元以上通用设备0台（套），单价</w:t>
      </w:r>
      <w:r>
        <w:rPr>
          <w:rFonts w:ascii="仿宋" w:eastAsia="仿宋"/>
          <w:color w:val="000000"/>
          <w:sz w:val="32"/>
          <w:szCs w:val="32"/>
        </w:rPr>
        <w:t>100</w:t>
      </w:r>
      <w:r>
        <w:rPr>
          <w:rFonts w:hint="eastAsia" w:ascii="仿宋" w:eastAsia="仿宋"/>
          <w:color w:val="000000"/>
          <w:sz w:val="32"/>
          <w:szCs w:val="32"/>
        </w:rPr>
        <w:t>万元以上专用设备0台（套）。</w:t>
      </w:r>
    </w:p>
    <w:p>
      <w:pPr>
        <w:autoSpaceDE w:val="0"/>
        <w:autoSpaceDN w:val="0"/>
        <w:adjustRightInd w:val="0"/>
        <w:spacing w:line="600" w:lineRule="exact"/>
        <w:ind w:firstLine="640" w:firstLineChars="200"/>
        <w:jc w:val="left"/>
        <w:outlineLvl w:val="2"/>
        <w:rPr>
          <w:rStyle w:val="18"/>
          <w:rFonts w:ascii="楷体" w:eastAsia="楷体" w:cs="Times New Roman"/>
          <w:bCs w:val="0"/>
          <w:color w:val="000000"/>
        </w:rPr>
      </w:pPr>
      <w:r>
        <w:rPr>
          <w:rFonts w:hint="eastAsia" w:ascii="楷体" w:eastAsia="楷体"/>
          <w:color w:val="000000"/>
          <w:sz w:val="32"/>
          <w:szCs w:val="32"/>
        </w:rPr>
        <w:t>（四）</w:t>
      </w:r>
      <w:r>
        <w:rPr>
          <w:rStyle w:val="18"/>
          <w:rFonts w:hint="eastAsia" w:ascii="楷体" w:eastAsia="楷体"/>
        </w:rPr>
        <w:t>预算绩效管理情况。</w:t>
      </w:r>
    </w:p>
    <w:p>
      <w:pPr>
        <w:spacing w:line="580" w:lineRule="exact"/>
        <w:ind w:firstLine="640" w:firstLineChars="200"/>
        <w:rPr>
          <w:rFonts w:ascii="仿宋_GB2312" w:eastAsia="仿宋_GB2312" w:cs="仿宋_GB2312"/>
          <w:sz w:val="32"/>
          <w:szCs w:val="32"/>
        </w:rPr>
      </w:pPr>
      <w:r>
        <w:rPr>
          <w:rFonts w:hint="eastAsia" w:ascii="仿宋" w:eastAsia="仿宋" w:cs="仿宋_GB2312"/>
          <w:sz w:val="32"/>
          <w:szCs w:val="32"/>
        </w:rPr>
        <w:t>根据预算绩效管理要求，本单位在2021年度预算编制阶段，组织对全市性宗教团体工作经费等6个项目开展了预算事前绩效评估，对6个项目编制了绩效目标，预算执行过程中，年中对6个项目开展绩效监控，年终执行完毕后，对8个项目开展了绩效自评。</w:t>
      </w:r>
      <w:r>
        <w:rPr>
          <w:rFonts w:hint="eastAsia" w:ascii="仿宋_GB2312" w:eastAsia="仿宋_GB2312" w:cs="仿宋_GB2312"/>
          <w:sz w:val="32"/>
          <w:szCs w:val="32"/>
        </w:rPr>
        <w:t>同时，本部门对2021年部门整体开展绩效自评，《2021年攀枝花市民族宗教事务委员会整体绩效评价报告》见附件（第四部分）。</w:t>
      </w: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widowControl/>
        <w:jc w:val="center"/>
        <w:rPr>
          <w:rStyle w:val="17"/>
          <w:rFonts w:ascii="黑体" w:eastAsia="黑体"/>
          <w:b w:val="0"/>
        </w:rPr>
      </w:pPr>
      <w:bookmarkStart w:id="73" w:name="_Toc22747"/>
      <w:r>
        <w:rPr>
          <w:rStyle w:val="17"/>
          <w:rFonts w:hint="eastAsia" w:ascii="黑体" w:eastAsia="黑体"/>
          <w:b w:val="0"/>
        </w:rPr>
        <w:t>第三部分  名词解释</w:t>
      </w:r>
    </w:p>
    <w:bookmarkEnd w:id="73"/>
    <w:p>
      <w:pPr>
        <w:pStyle w:val="22"/>
        <w:spacing w:line="560" w:lineRule="exact"/>
        <w:ind w:firstLine="640" w:firstLineChars="200"/>
        <w:rPr>
          <w:rFonts w:ascii="仿宋_GB2312" w:eastAsia="仿宋_GB2312"/>
          <w:sz w:val="32"/>
          <w:szCs w:val="32"/>
        </w:rPr>
      </w:pPr>
    </w:p>
    <w:p>
      <w:pPr>
        <w:pStyle w:val="22"/>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1.财政拨款收入：指单位从同级财政部门取得的财政预算资金。</w:t>
      </w:r>
    </w:p>
    <w:p>
      <w:pPr>
        <w:pStyle w:val="22"/>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2.事业收入：指事业单位开展专业业务活动及辅助活动取得的收入。</w:t>
      </w:r>
    </w:p>
    <w:p>
      <w:pPr>
        <w:pStyle w:val="22"/>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3.其他收入：指单位取得的除上述收入以外的各项收入。主要是利息收入。 </w:t>
      </w:r>
    </w:p>
    <w:p>
      <w:pPr>
        <w:pStyle w:val="22"/>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4.年初结转和结余：指以前年度尚未完成、结转到本年按有关规定继续使用的资金。 </w:t>
      </w:r>
    </w:p>
    <w:p>
      <w:pPr>
        <w:pStyle w:val="22"/>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5.年末结转和结余：指单位按有关规定结转到下年或以后年度继续使用的资金。</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6.一般公共服务（类）民族事务（款）行政运行（项）：指行政单位的基本支出。</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7.一般公共服务（类）民族事务（款）事业运行（项）：指事业单位的基本支出，不包括行政单位服务中心、医务室等附属事业单位。</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8.一般公共服务（类）民族事务（款）其他民族事务支出（项）：指其他用于民族事务方面的支出。</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9.一般公共服务（类）宗教事务（款）其他宗教事务支出（项）：指其他用于宗教事务方面的支出。</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10.一般公共服务（类）组织事务（款）其他组织事务支出（项）:指其他用于中国共产党组织部门的事务支出。</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11.社会保障和就业（类）行政事业单位养老支出（款）行政单位离退休（项）：指行政单位(包括实行公务员管理的事业单位)开支的离退休经费。</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12.社会保障和就业（类）行政事业单位养老支出（款）事业单位离退休（项）：指事业单位开支的离退休经费。</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13.社会保障和就业（类）行政事业单位养老支出（款）机关事业单位基本养老保险缴费支出（项）:指机关事业单位实施养老保险制度由单位缴纳的基本养老保险费支出。    </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14．社会保障和就业（类）社会福利（款）儿童福利（项）：指对儿童提供福利服务方面的支出。</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15．城乡社区支出（类）国有土地使用权出让收入安排的支出（款）土地开发支出（项）：指地方政府用于前期土地开发性支出以及与前期土地开发相关的费用等支出。</w:t>
      </w:r>
    </w:p>
    <w:p>
      <w:pPr>
        <w:pStyle w:val="5"/>
        <w:spacing w:before="93" w:beforeLines="0" w:line="353" w:lineRule="auto"/>
        <w:rPr>
          <w:rFonts w:cs="仿宋_GB2312"/>
          <w:sz w:val="32"/>
          <w:szCs w:val="32"/>
        </w:rPr>
      </w:pPr>
      <w:r>
        <w:rPr>
          <w:rFonts w:hint="eastAsia" w:cs="仿宋_GB2312"/>
          <w:sz w:val="32"/>
          <w:szCs w:val="32"/>
        </w:rPr>
        <w:t xml:space="preserve">    16．农林水支出（类）其他农林水支出（款）其他农林水支出（项）：指除化解债务支出以外其他用于农林水方面的支出。</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17.住房保障支出（类）住房改革支出（款）住房公积金（项）：指行政事业单位按人力资源和社会保障部、财政部规定的基本工资和津贴补贴以及规定比例为职工缴纳的住房公积金。</w:t>
      </w:r>
    </w:p>
    <w:p>
      <w:pPr>
        <w:spacing w:line="353" w:lineRule="auto"/>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18.基本支出：指为保障机构正常运转、完成日常工作任务而发生的人员支出和公用支出。</w:t>
      </w:r>
    </w:p>
    <w:p>
      <w:pPr>
        <w:spacing w:line="353" w:lineRule="auto"/>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19.项目支出：指在基本支出之外为完成特定行政任务和事业发展目标所发生的支出。 </w:t>
      </w:r>
    </w:p>
    <w:p>
      <w:pPr>
        <w:spacing w:line="353" w:lineRule="auto"/>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20.政府性基金：指专项用于特定公共事业发展的支出。</w:t>
      </w:r>
    </w:p>
    <w:p>
      <w:pPr>
        <w:pStyle w:val="22"/>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353" w:lineRule="auto"/>
        <w:ind w:firstLine="640" w:firstLineChars="200"/>
        <w:rPr>
          <w:rFonts w:ascii="仿宋_GB2312" w:eastAsia="仿宋_GB2312"/>
          <w:color w:val="auto"/>
          <w:sz w:val="32"/>
          <w:szCs w:val="32"/>
        </w:rPr>
      </w:pPr>
      <w:r>
        <w:rPr>
          <w:rFonts w:hint="eastAsia" w:ascii="仿宋_GB2312" w:eastAsia="仿宋_GB2312" w:cs="仿宋_GB2312"/>
          <w:sz w:val="32"/>
          <w:szCs w:val="32"/>
        </w:rPr>
        <w:t>22.机关运行经费：</w:t>
      </w:r>
      <w:r>
        <w:rPr>
          <w:rFonts w:hint="eastAsia" w:ascii="仿宋_GB2312" w:eastAsia="仿宋_GB2312" w:cs="仿宋_GB2312"/>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eastAsia="黑体"/>
          <w:color w:val="000000"/>
          <w:sz w:val="44"/>
          <w:szCs w:val="44"/>
        </w:rPr>
      </w:pPr>
    </w:p>
    <w:p>
      <w:pPr>
        <w:spacing w:line="600" w:lineRule="exact"/>
        <w:jc w:val="center"/>
        <w:outlineLvl w:val="0"/>
        <w:rPr>
          <w:rFonts w:hint="eastAsia" w:ascii="黑体" w:eastAsia="黑体"/>
          <w:color w:val="000000"/>
          <w:sz w:val="44"/>
          <w:szCs w:val="44"/>
        </w:rPr>
      </w:pPr>
    </w:p>
    <w:p>
      <w:pPr>
        <w:spacing w:line="600" w:lineRule="exact"/>
        <w:jc w:val="center"/>
        <w:outlineLvl w:val="0"/>
        <w:rPr>
          <w:rFonts w:hint="eastAsia" w:ascii="黑体" w:eastAsia="黑体"/>
          <w:color w:val="000000"/>
          <w:sz w:val="44"/>
          <w:szCs w:val="44"/>
        </w:rPr>
      </w:pPr>
    </w:p>
    <w:p>
      <w:pPr>
        <w:spacing w:line="600" w:lineRule="exact"/>
        <w:jc w:val="center"/>
        <w:outlineLvl w:val="0"/>
        <w:rPr>
          <w:rFonts w:hint="eastAsia" w:ascii="黑体" w:eastAsia="黑体"/>
          <w:color w:val="000000"/>
          <w:sz w:val="44"/>
          <w:szCs w:val="44"/>
        </w:rPr>
      </w:pPr>
    </w:p>
    <w:p>
      <w:pPr>
        <w:spacing w:line="600" w:lineRule="exact"/>
        <w:jc w:val="center"/>
        <w:outlineLvl w:val="0"/>
        <w:rPr>
          <w:rStyle w:val="17"/>
          <w:rFonts w:ascii="黑体" w:eastAsia="黑体"/>
          <w:b w:val="0"/>
        </w:rPr>
      </w:pPr>
      <w:bookmarkStart w:id="74" w:name="_Toc907"/>
      <w:r>
        <w:rPr>
          <w:rFonts w:hint="eastAsia" w:ascii="黑体" w:eastAsia="黑体"/>
          <w:color w:val="000000"/>
          <w:sz w:val="44"/>
          <w:szCs w:val="44"/>
        </w:rPr>
        <w:t>第</w:t>
      </w:r>
      <w:r>
        <w:rPr>
          <w:rStyle w:val="17"/>
          <w:rFonts w:hint="eastAsia" w:ascii="黑体" w:eastAsia="黑体"/>
          <w:b w:val="0"/>
        </w:rPr>
        <w:t>四部分 附件</w:t>
      </w:r>
      <w:bookmarkEnd w:id="74"/>
    </w:p>
    <w:p>
      <w:pPr>
        <w:spacing w:line="600" w:lineRule="exact"/>
        <w:jc w:val="center"/>
        <w:outlineLvl w:val="0"/>
        <w:rPr>
          <w:rStyle w:val="17"/>
        </w:rPr>
      </w:pPr>
    </w:p>
    <w:p>
      <w:pPr>
        <w:pStyle w:val="3"/>
      </w:pPr>
      <w:bookmarkStart w:id="75" w:name="_Toc4254"/>
      <w:r>
        <w:rPr>
          <w:rFonts w:hint="eastAsia"/>
        </w:rPr>
        <w:t>附件1</w:t>
      </w:r>
      <w:bookmarkEnd w:id="75"/>
    </w:p>
    <w:p>
      <w:pPr>
        <w:jc w:val="center"/>
        <w:rPr>
          <w:rFonts w:hint="eastAsia" w:ascii="黑体" w:eastAsia="黑体" w:cs="黑体"/>
          <w:sz w:val="36"/>
          <w:szCs w:val="36"/>
        </w:rPr>
      </w:pPr>
      <w:bookmarkStart w:id="76" w:name="_Toc6518"/>
      <w:bookmarkStart w:id="77" w:name="_Toc2145"/>
      <w:bookmarkStart w:id="78" w:name="_Toc17239"/>
      <w:bookmarkStart w:id="79" w:name="_Toc77628811"/>
      <w:bookmarkStart w:id="80" w:name="_Toc15396616"/>
      <w:r>
        <w:rPr>
          <w:rFonts w:hint="eastAsia" w:ascii="黑体" w:eastAsia="黑体" w:cs="黑体"/>
          <w:sz w:val="36"/>
          <w:szCs w:val="36"/>
        </w:rPr>
        <w:t>攀枝花市民族宗教事务委员会</w:t>
      </w:r>
      <w:bookmarkEnd w:id="76"/>
      <w:bookmarkEnd w:id="77"/>
      <w:bookmarkEnd w:id="78"/>
      <w:bookmarkEnd w:id="79"/>
    </w:p>
    <w:p>
      <w:pPr>
        <w:jc w:val="center"/>
        <w:rPr>
          <w:rFonts w:hint="eastAsia" w:ascii="黑体" w:eastAsia="黑体" w:cs="黑体"/>
          <w:sz w:val="36"/>
          <w:szCs w:val="36"/>
        </w:rPr>
      </w:pPr>
      <w:bookmarkStart w:id="81" w:name="_Toc4145"/>
      <w:bookmarkStart w:id="82" w:name="_Toc8802"/>
      <w:bookmarkStart w:id="83" w:name="_Toc459"/>
      <w:bookmarkStart w:id="84" w:name="_Toc77628812"/>
      <w:r>
        <w:rPr>
          <w:rFonts w:hint="eastAsia" w:ascii="黑体" w:eastAsia="黑体" w:cs="黑体"/>
          <w:sz w:val="36"/>
          <w:szCs w:val="36"/>
        </w:rPr>
        <w:t>2021年部门整体支出绩效评价报告</w:t>
      </w:r>
      <w:bookmarkEnd w:id="80"/>
      <w:bookmarkEnd w:id="81"/>
      <w:bookmarkEnd w:id="82"/>
      <w:bookmarkEnd w:id="83"/>
      <w:bookmarkEnd w:id="84"/>
    </w:p>
    <w:p>
      <w:pPr>
        <w:spacing w:line="580" w:lineRule="exact"/>
        <w:ind w:firstLine="640" w:firstLineChars="200"/>
        <w:rPr>
          <w:rFonts w:ascii="黑体" w:eastAsia="黑体" w:cs="黑体"/>
          <w:sz w:val="32"/>
          <w:szCs w:val="32"/>
        </w:rPr>
      </w:pPr>
    </w:p>
    <w:p>
      <w:pPr>
        <w:spacing w:line="580" w:lineRule="exact"/>
        <w:ind w:firstLine="640" w:firstLineChars="200"/>
        <w:rPr>
          <w:rFonts w:ascii="黑体" w:eastAsia="黑体" w:cs="黑体"/>
          <w:sz w:val="32"/>
          <w:szCs w:val="32"/>
        </w:rPr>
      </w:pPr>
      <w:r>
        <w:rPr>
          <w:rFonts w:hint="eastAsia" w:ascii="黑体" w:eastAsia="黑体" w:cs="黑体"/>
          <w:sz w:val="32"/>
          <w:szCs w:val="32"/>
        </w:rPr>
        <w:t>一、部门（单位）概况</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（一）机构组成。</w:t>
      </w:r>
    </w:p>
    <w:p>
      <w:pPr>
        <w:ind w:firstLine="800" w:firstLineChars="250"/>
        <w:rPr>
          <w:rFonts w:ascii="仿宋" w:eastAsia="仿宋"/>
          <w:sz w:val="32"/>
          <w:szCs w:val="32"/>
        </w:rPr>
      </w:pPr>
      <w:r>
        <w:rPr>
          <w:rFonts w:hint="eastAsia" w:ascii="仿宋" w:eastAsia="仿宋"/>
          <w:sz w:val="32"/>
          <w:szCs w:val="32"/>
        </w:rPr>
        <w:t>攀枝花市民族宗教事务委员会与市委统战部合署办公，其中：民族事务科、民族经济发展科（两资办）、宗教事务科、民族教科文卫和外事联络科主要从事民族宗教工作，下属全额拨款事业单位1个—攀枝花市民族宗教干部学校。</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（二）机构职能。</w:t>
      </w:r>
    </w:p>
    <w:p>
      <w:pPr>
        <w:spacing w:line="640" w:lineRule="exact"/>
        <w:ind w:firstLine="640" w:firstLineChars="200"/>
        <w:rPr>
          <w:rFonts w:ascii="仿宋" w:eastAsia="仿宋"/>
          <w:sz w:val="32"/>
          <w:szCs w:val="32"/>
        </w:rPr>
      </w:pPr>
      <w:r>
        <w:rPr>
          <w:rFonts w:hint="eastAsia" w:ascii="仿宋" w:eastAsia="仿宋"/>
          <w:sz w:val="32"/>
          <w:szCs w:val="32"/>
        </w:rPr>
        <w:t>贯彻执行党和政府关于民族、宗教工作的法律法规和方针政策,处理民族关系中的重大事项。负责民族、宗教政策、法律、法规的宣传教育工作并监督实施。拟定民族地区经济社会发展规划。管理民族专项资金。研究少数民族和民族地区教育、文化、科技、卫生、体育、计划生育、新闻出版等方面的特殊问题。监督和办理少数民族权益保障事宜。依法保护公民宗教信仰自由和正常的宗教活动，维护宗教界合法权益，支持宗教团体加强自身建设。负责对宗教法律、法规和政策的贯彻实施进行监督管理；引导、促进宗教在法律、法规和政策范围内活动，防止和制止不法分子利用宗教进行非法、违法活动。负责组织实施安置凉山州自发迁居农民工作规划、管理，协助县（区）和相关部门处理好自发迁居农民的遗留问题，指导县区完成凉山州自发迁农民的安置发展工作。会同相关部门做好少数民族干部和民族工作干部的培养、教育和推荐使用工作。参与涉及民族、宗教事务的对外宣传工作。承担市政府公布的有关行政审批事项。</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（三）人员概况。</w:t>
      </w:r>
    </w:p>
    <w:p>
      <w:pPr>
        <w:widowControl/>
        <w:shd w:val="clear" w:color="auto" w:fill="FFFFFF"/>
        <w:spacing w:line="640" w:lineRule="exact"/>
        <w:ind w:firstLine="640" w:firstLineChars="200"/>
        <w:rPr>
          <w:rFonts w:ascii="仿宋" w:eastAsia="仿宋"/>
          <w:sz w:val="32"/>
          <w:szCs w:val="32"/>
        </w:rPr>
      </w:pPr>
      <w:r>
        <w:rPr>
          <w:rFonts w:hint="eastAsia" w:ascii="仿宋" w:eastAsia="仿宋"/>
          <w:sz w:val="32"/>
          <w:szCs w:val="32"/>
        </w:rPr>
        <w:t>截至2021年末，</w:t>
      </w:r>
      <w:r>
        <w:rPr>
          <w:rFonts w:hint="eastAsia" w:ascii="仿宋" w:eastAsia="仿宋" w:cs="Arial"/>
          <w:color w:val="333333"/>
          <w:kern w:val="0"/>
          <w:sz w:val="32"/>
          <w:szCs w:val="32"/>
        </w:rPr>
        <w:t>委机关与市委统战部机关合计27名行政编制，攀枝花市民族宗教干部学校事业编制9名。攀枝花市民族宗教事务委员会财务独立，全委</w:t>
      </w:r>
      <w:r>
        <w:rPr>
          <w:rFonts w:hint="eastAsia" w:ascii="仿宋" w:eastAsia="仿宋"/>
          <w:sz w:val="32"/>
          <w:szCs w:val="32"/>
        </w:rPr>
        <w:t>共有在职职工24人，其中公务员15人，机关工勤1人，事业人员7人,占编聘用人员1人。退休职工15人，享受遗属补助1人。</w:t>
      </w:r>
    </w:p>
    <w:p>
      <w:pPr>
        <w:spacing w:line="580" w:lineRule="exact"/>
        <w:ind w:firstLine="640" w:firstLineChars="200"/>
        <w:rPr>
          <w:rFonts w:ascii="黑体" w:eastAsia="黑体" w:cs="黑体"/>
          <w:sz w:val="32"/>
          <w:szCs w:val="32"/>
        </w:rPr>
      </w:pPr>
      <w:r>
        <w:rPr>
          <w:rFonts w:ascii="黑体" w:eastAsia="黑体" w:cs="黑体"/>
          <w:sz w:val="32"/>
          <w:szCs w:val="32"/>
        </w:rPr>
        <w:t>二、部门财政资金收支情况</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（一）部门财政资金收入情况。</w:t>
      </w:r>
    </w:p>
    <w:p>
      <w:pPr>
        <w:spacing w:line="580" w:lineRule="exact"/>
        <w:ind w:firstLine="640" w:firstLineChars="200"/>
        <w:rPr>
          <w:rFonts w:ascii="仿宋" w:eastAsia="仿宋" w:cs="仿宋_GB2312"/>
          <w:sz w:val="32"/>
          <w:szCs w:val="32"/>
        </w:rPr>
      </w:pPr>
      <w:r>
        <w:rPr>
          <w:rFonts w:ascii="仿宋" w:eastAsia="仿宋"/>
          <w:color w:val="000000"/>
          <w:sz w:val="32"/>
          <w:szCs w:val="32"/>
        </w:rPr>
        <w:t>20</w:t>
      </w:r>
      <w:r>
        <w:rPr>
          <w:rFonts w:hint="eastAsia" w:ascii="仿宋" w:eastAsia="仿宋"/>
          <w:color w:val="000000"/>
          <w:sz w:val="32"/>
          <w:szCs w:val="32"/>
        </w:rPr>
        <w:t>21年财政拨款收入734.14万元</w:t>
      </w:r>
      <w:r>
        <w:rPr>
          <w:rFonts w:hint="eastAsia" w:ascii="仿宋" w:eastAsia="仿宋"/>
          <w:sz w:val="32"/>
          <w:szCs w:val="32"/>
        </w:rPr>
        <w:t>。</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（二）部门财政资金支出情况。</w:t>
      </w:r>
    </w:p>
    <w:p>
      <w:pPr>
        <w:spacing w:line="640" w:lineRule="exact"/>
        <w:ind w:firstLine="640" w:firstLineChars="200"/>
        <w:rPr>
          <w:rFonts w:ascii="仿宋" w:eastAsia="仿宋"/>
          <w:szCs w:val="32"/>
        </w:rPr>
      </w:pPr>
      <w:r>
        <w:rPr>
          <w:rFonts w:hint="eastAsia" w:ascii="仿宋" w:eastAsia="仿宋"/>
          <w:sz w:val="32"/>
          <w:szCs w:val="32"/>
        </w:rPr>
        <w:t>2021年财政拨款支出734.14万元：其中基本支出584.62万元（人员经费</w:t>
      </w:r>
      <w:r>
        <w:rPr>
          <w:rFonts w:hint="eastAsia" w:ascii="仿宋" w:eastAsia="仿宋"/>
          <w:color w:val="000000"/>
          <w:sz w:val="32"/>
          <w:szCs w:val="32"/>
        </w:rPr>
        <w:t>504.66</w:t>
      </w:r>
      <w:r>
        <w:rPr>
          <w:rFonts w:hint="eastAsia" w:ascii="仿宋" w:eastAsia="仿宋"/>
          <w:sz w:val="32"/>
          <w:szCs w:val="32"/>
        </w:rPr>
        <w:t>万元，日常公用支出</w:t>
      </w:r>
      <w:r>
        <w:rPr>
          <w:rFonts w:hint="eastAsia" w:ascii="仿宋" w:eastAsia="仿宋"/>
          <w:color w:val="000000"/>
          <w:sz w:val="32"/>
          <w:szCs w:val="32"/>
        </w:rPr>
        <w:t>79.96</w:t>
      </w:r>
      <w:r>
        <w:rPr>
          <w:rFonts w:hint="eastAsia" w:ascii="仿宋" w:eastAsia="仿宋"/>
          <w:sz w:val="32"/>
          <w:szCs w:val="32"/>
        </w:rPr>
        <w:t>万元），项目支出149.52万元</w:t>
      </w:r>
      <w:r>
        <w:rPr>
          <w:rFonts w:hint="eastAsia" w:ascii="仿宋" w:eastAsia="仿宋"/>
          <w:szCs w:val="32"/>
        </w:rPr>
        <w:t>。</w:t>
      </w:r>
    </w:p>
    <w:p>
      <w:pPr>
        <w:spacing w:line="580" w:lineRule="exact"/>
        <w:ind w:firstLine="640" w:firstLineChars="200"/>
        <w:rPr>
          <w:rFonts w:ascii="黑体" w:eastAsia="黑体" w:cs="黑体"/>
          <w:sz w:val="32"/>
          <w:szCs w:val="32"/>
        </w:rPr>
      </w:pPr>
      <w:r>
        <w:rPr>
          <w:rFonts w:ascii="黑体" w:eastAsia="黑体" w:cs="黑体"/>
          <w:sz w:val="32"/>
          <w:szCs w:val="32"/>
        </w:rPr>
        <w:t>三、部门整体预算绩效管理情况</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（一）部门预算管理。</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2021年部门绩效目标制定完整，目标完成较好，预算编制较准确、支出控制良好、执行进度与年初基本相符，全面完成年初预算。无违规记录。部门支出绩效指标达到了预期设定的目标值，绩效目标完成较好。</w:t>
      </w:r>
    </w:p>
    <w:p>
      <w:pPr>
        <w:pStyle w:val="5"/>
        <w:spacing w:before="93" w:beforeLines="0" w:line="353" w:lineRule="auto"/>
        <w:rPr>
          <w:rFonts w:cs="仿宋_GB2312"/>
          <w:sz w:val="32"/>
          <w:szCs w:val="32"/>
        </w:rPr>
      </w:pPr>
      <w:r>
        <w:rPr>
          <w:rFonts w:hint="eastAsia" w:cs="仿宋_GB2312"/>
          <w:sz w:val="32"/>
          <w:szCs w:val="32"/>
        </w:rPr>
        <w:t xml:space="preserve">    1.目标制定。2021 年，我委坚持以习近平新时代中国特色社会主义思想为统领，在市委市政府的坚强领导下，聚焦市委市政府决策部署，持续深入贯彻党的十九大关于民族宗教工作的重要部署和习近平总书记对四川工作系列重要指示精神，坚持依法管理宗教事务，推动宗教中国化有关要求，依据部门“三定”方案确定的职责，科学制定 2021 年部门整体支出、部门项目及专项项目绩效目标，编制要素完整、绩效指标细化量化。</w:t>
      </w:r>
    </w:p>
    <w:p>
      <w:pPr>
        <w:pStyle w:val="5"/>
        <w:spacing w:before="93" w:beforeLines="0" w:line="353" w:lineRule="auto"/>
        <w:ind w:firstLine="600"/>
        <w:rPr>
          <w:rFonts w:cs="仿宋_GB2312"/>
          <w:sz w:val="32"/>
          <w:szCs w:val="32"/>
        </w:rPr>
      </w:pPr>
      <w:r>
        <w:rPr>
          <w:rFonts w:hint="eastAsia" w:cs="仿宋_GB2312"/>
          <w:sz w:val="32"/>
          <w:szCs w:val="32"/>
        </w:rPr>
        <w:t>2.目标实现。2021年部门绩效目标制定完整，目标完成较好，预算编制较准确、支出控制良好、执行进度与年初基本相符，全面完成年初预算。</w:t>
      </w:r>
    </w:p>
    <w:p>
      <w:pPr>
        <w:pStyle w:val="5"/>
        <w:spacing w:before="93" w:beforeLines="0" w:line="353" w:lineRule="auto"/>
        <w:ind w:firstLine="600"/>
        <w:rPr>
          <w:rFonts w:cs="仿宋_GB2312"/>
          <w:sz w:val="32"/>
          <w:szCs w:val="32"/>
        </w:rPr>
      </w:pPr>
      <w:r>
        <w:rPr>
          <w:rFonts w:hint="eastAsia" w:cs="仿宋_GB2312"/>
          <w:sz w:val="32"/>
          <w:szCs w:val="32"/>
        </w:rPr>
        <w:t>3.支出控制。相关支出部门年初预算数与决算数偏差度为10%。</w:t>
      </w:r>
    </w:p>
    <w:p>
      <w:pPr>
        <w:pStyle w:val="5"/>
        <w:spacing w:before="93" w:beforeLines="0" w:line="353" w:lineRule="auto"/>
        <w:ind w:firstLine="600"/>
        <w:rPr>
          <w:rFonts w:cs="仿宋_GB2312"/>
          <w:sz w:val="32"/>
          <w:szCs w:val="32"/>
        </w:rPr>
      </w:pPr>
      <w:r>
        <w:rPr>
          <w:rFonts w:hint="eastAsia" w:cs="仿宋_GB2312"/>
          <w:sz w:val="32"/>
          <w:szCs w:val="32"/>
        </w:rPr>
        <w:t>4.预算完成。我委预算执行率100%。</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（二）结果应用情况。</w:t>
      </w:r>
    </w:p>
    <w:p>
      <w:pPr>
        <w:spacing w:line="640" w:lineRule="exact"/>
        <w:ind w:firstLine="640" w:firstLineChars="200"/>
        <w:rPr>
          <w:rFonts w:ascii="仿宋" w:eastAsia="仿宋"/>
          <w:sz w:val="32"/>
          <w:szCs w:val="32"/>
          <w:lang w:val="zh-CN"/>
        </w:rPr>
      </w:pPr>
      <w:r>
        <w:rPr>
          <w:rFonts w:hint="eastAsia" w:ascii="仿宋" w:eastAsia="仿宋"/>
          <w:sz w:val="32"/>
          <w:szCs w:val="32"/>
          <w:lang w:val="zh-CN"/>
        </w:rPr>
        <w:t>项目预算绩效的严格管理，保障了委机关及下属事业单位业务活动的正常运转。</w:t>
      </w:r>
      <w:r>
        <w:rPr>
          <w:rFonts w:hint="eastAsia" w:ascii="仿宋" w:eastAsia="仿宋" w:cs="仿宋_GB2312"/>
          <w:sz w:val="32"/>
          <w:szCs w:val="32"/>
        </w:rPr>
        <w:t>年终执行完毕后，对</w:t>
      </w:r>
      <w:r>
        <w:rPr>
          <w:rFonts w:hint="eastAsia" w:ascii="仿宋" w:eastAsia="仿宋"/>
          <w:sz w:val="32"/>
          <w:szCs w:val="32"/>
          <w:lang w:val="zh-CN"/>
        </w:rPr>
        <w:t>全市性宗教团体工作经费、宗教教职人员困难补助费和宗教界人士慰问费等</w:t>
      </w:r>
      <w:r>
        <w:rPr>
          <w:rFonts w:hint="eastAsia" w:ascii="仿宋" w:eastAsia="仿宋" w:cs="仿宋_GB2312"/>
          <w:sz w:val="32"/>
          <w:szCs w:val="32"/>
        </w:rPr>
        <w:t>8个项目开展了绩效自评。</w:t>
      </w:r>
      <w:r>
        <w:rPr>
          <w:rFonts w:hint="eastAsia" w:ascii="仿宋" w:eastAsia="仿宋"/>
          <w:sz w:val="32"/>
          <w:szCs w:val="32"/>
          <w:lang w:val="zh-CN"/>
        </w:rPr>
        <w:t>项目资金的有效使用，改善了信教群众活动条件，解决了全市宗教教职人员现实困难，团结、争取、教育了宗教界人士和广大信教群众，</w:t>
      </w:r>
      <w:r>
        <w:rPr>
          <w:rFonts w:hint="eastAsia" w:ascii="仿宋_GB2312" w:eastAsia="仿宋_GB2312" w:cs="仿宋_GB2312"/>
          <w:color w:val="000000"/>
          <w:sz w:val="32"/>
          <w:szCs w:val="32"/>
        </w:rPr>
        <w:t>推进了民族地区乡村振兴战略，</w:t>
      </w:r>
      <w:r>
        <w:rPr>
          <w:rFonts w:hint="eastAsia" w:ascii="仿宋" w:eastAsia="仿宋"/>
          <w:sz w:val="32"/>
          <w:szCs w:val="32"/>
          <w:lang w:val="zh-CN"/>
        </w:rPr>
        <w:t>维护了社会稳定、和谐，单位职工、信教群众、宗教团体、宗教界人士、民族地区服务人群满意度抽样调查均达满意及以上。</w:t>
      </w:r>
    </w:p>
    <w:p>
      <w:pPr>
        <w:pStyle w:val="5"/>
        <w:spacing w:before="93" w:beforeLines="0"/>
        <w:rPr>
          <w:rFonts w:cs="仿宋_GB2312"/>
          <w:sz w:val="32"/>
          <w:szCs w:val="32"/>
        </w:rPr>
      </w:pPr>
      <w:r>
        <w:rPr>
          <w:rFonts w:hint="eastAsia" w:cs="仿宋_GB2312"/>
          <w:sz w:val="32"/>
          <w:szCs w:val="32"/>
        </w:rPr>
        <w:t xml:space="preserve">    1.内部应用。在进行 2022 年预算编制时，严格执行预算安排与绩效挂钩，按照 2021 年 10 月预算执行进度和事前绩效评估结果，合理预算2022年部门和项目经费。</w:t>
      </w:r>
    </w:p>
    <w:p>
      <w:pPr>
        <w:pStyle w:val="5"/>
        <w:spacing w:before="93" w:beforeLines="0"/>
        <w:ind w:firstLine="640"/>
        <w:rPr>
          <w:rFonts w:ascii="仿宋" w:eastAsia="仿宋" w:cs="仿宋_GB2312"/>
          <w:sz w:val="32"/>
          <w:szCs w:val="32"/>
        </w:rPr>
      </w:pPr>
      <w:r>
        <w:rPr>
          <w:rFonts w:hint="eastAsia" w:cs="仿宋_GB2312"/>
          <w:sz w:val="32"/>
          <w:szCs w:val="32"/>
        </w:rPr>
        <w:t>2.自评公开。年终执行完毕后，</w:t>
      </w:r>
      <w:r>
        <w:rPr>
          <w:rFonts w:hint="eastAsia" w:ascii="仿宋" w:eastAsia="仿宋" w:cs="仿宋_GB2312"/>
          <w:sz w:val="32"/>
          <w:szCs w:val="32"/>
        </w:rPr>
        <w:t>及时按时间和要求在网上进行了部门整体及项目绩效自评公开。</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w:t>
      </w:r>
      <w:r>
        <w:rPr>
          <w:rFonts w:hint="eastAsia" w:ascii="楷体" w:eastAsia="楷体" w:cs="仿宋_GB2312"/>
          <w:b/>
          <w:sz w:val="32"/>
          <w:szCs w:val="32"/>
        </w:rPr>
        <w:t>三</w:t>
      </w:r>
      <w:r>
        <w:rPr>
          <w:rFonts w:ascii="楷体" w:eastAsia="楷体" w:cs="仿宋_GB2312"/>
          <w:b/>
          <w:sz w:val="32"/>
          <w:szCs w:val="32"/>
        </w:rPr>
        <w:t>）</w:t>
      </w:r>
      <w:r>
        <w:rPr>
          <w:rFonts w:hint="eastAsia" w:ascii="楷体" w:eastAsia="楷体" w:cs="仿宋_GB2312"/>
          <w:b/>
          <w:sz w:val="32"/>
          <w:szCs w:val="32"/>
        </w:rPr>
        <w:t>自评质量</w:t>
      </w:r>
      <w:r>
        <w:rPr>
          <w:rFonts w:ascii="楷体" w:eastAsia="楷体" w:cs="仿宋_GB2312"/>
          <w:b/>
          <w:sz w:val="32"/>
          <w:szCs w:val="32"/>
        </w:rPr>
        <w:t>。</w:t>
      </w:r>
    </w:p>
    <w:p>
      <w:pPr>
        <w:spacing w:line="580" w:lineRule="exact"/>
        <w:ind w:firstLine="640" w:firstLineChars="200"/>
        <w:rPr>
          <w:lang w:val="zh-CN"/>
        </w:rPr>
      </w:pPr>
      <w:r>
        <w:rPr>
          <w:rFonts w:hint="eastAsia" w:ascii="仿宋" w:eastAsia="仿宋" w:cs="仿宋_GB2312"/>
          <w:sz w:val="32"/>
          <w:szCs w:val="32"/>
        </w:rPr>
        <w:t>本部门按要求对2021年部门整体支出开展绩效自评，从评价情况来看</w:t>
      </w:r>
      <w:r>
        <w:rPr>
          <w:rFonts w:hint="eastAsia" w:ascii="仿宋" w:eastAsia="仿宋"/>
          <w:sz w:val="32"/>
          <w:szCs w:val="32"/>
        </w:rPr>
        <w:t>部门支出绩效指标达到了预期设定的目标值，绩效目标完成较好，项目做到专项专用,达到设定目标。</w:t>
      </w:r>
    </w:p>
    <w:p>
      <w:pPr>
        <w:spacing w:line="580" w:lineRule="exact"/>
        <w:ind w:firstLine="640" w:firstLineChars="200"/>
        <w:rPr>
          <w:rFonts w:ascii="黑体" w:eastAsia="黑体" w:cs="黑体"/>
          <w:i/>
          <w:sz w:val="32"/>
          <w:szCs w:val="32"/>
        </w:rPr>
      </w:pPr>
      <w:r>
        <w:rPr>
          <w:rFonts w:ascii="黑体" w:eastAsia="黑体" w:cs="黑体"/>
          <w:sz w:val="32"/>
          <w:szCs w:val="32"/>
        </w:rPr>
        <w:t>四、评价结论及建议</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（一）评价结论。</w:t>
      </w:r>
    </w:p>
    <w:p>
      <w:pPr>
        <w:spacing w:line="580" w:lineRule="exact"/>
        <w:ind w:firstLine="640" w:firstLineChars="200"/>
        <w:rPr>
          <w:rFonts w:ascii="仿宋" w:eastAsia="仿宋" w:cs="仿宋_GB2312"/>
          <w:sz w:val="32"/>
          <w:szCs w:val="32"/>
        </w:rPr>
      </w:pPr>
      <w:r>
        <w:rPr>
          <w:rFonts w:hint="eastAsia" w:ascii="仿宋" w:eastAsia="仿宋"/>
          <w:sz w:val="32"/>
          <w:szCs w:val="32"/>
        </w:rPr>
        <w:t>本部门2021年支出绩效指标达到了预期设定的目标值，绩效目标完成较好。</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（二）存在问题。</w:t>
      </w:r>
    </w:p>
    <w:p>
      <w:pPr>
        <w:spacing w:line="640" w:lineRule="exact"/>
        <w:ind w:firstLine="640" w:firstLineChars="200"/>
        <w:rPr>
          <w:rFonts w:ascii="仿宋" w:eastAsia="仿宋"/>
          <w:sz w:val="32"/>
          <w:szCs w:val="32"/>
        </w:rPr>
      </w:pPr>
      <w:r>
        <w:rPr>
          <w:rFonts w:hint="eastAsia" w:ascii="仿宋" w:eastAsia="仿宋"/>
          <w:sz w:val="32"/>
          <w:szCs w:val="32"/>
        </w:rPr>
        <w:t>1.单位工作人员存在开支后不及时报账的现象，需进一步加强项目开展进度的跟踪及监管，发挥资金的使用效益，提高预算完成率。</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2.受</w:t>
      </w:r>
      <w:r>
        <w:rPr>
          <w:rFonts w:ascii="仿宋" w:eastAsia="仿宋" w:cs="仿宋_GB2312"/>
          <w:sz w:val="32"/>
          <w:szCs w:val="32"/>
        </w:rPr>
        <w:t>疫情防控等客观原因影响</w:t>
      </w:r>
      <w:r>
        <w:rPr>
          <w:rFonts w:hint="eastAsia" w:ascii="仿宋" w:eastAsia="仿宋" w:cs="仿宋_GB2312"/>
          <w:sz w:val="32"/>
          <w:szCs w:val="32"/>
        </w:rPr>
        <w:t>，</w:t>
      </w:r>
      <w:r>
        <w:rPr>
          <w:rFonts w:ascii="仿宋" w:eastAsia="仿宋" w:cs="仿宋_GB2312"/>
          <w:sz w:val="32"/>
          <w:szCs w:val="32"/>
        </w:rPr>
        <w:t>部分资金使用</w:t>
      </w:r>
      <w:r>
        <w:rPr>
          <w:rFonts w:hint="eastAsia" w:ascii="仿宋" w:eastAsia="仿宋" w:cs="仿宋_GB2312"/>
          <w:sz w:val="32"/>
          <w:szCs w:val="32"/>
        </w:rPr>
        <w:t>滞后，今后</w:t>
      </w:r>
      <w:r>
        <w:rPr>
          <w:rFonts w:ascii="仿宋" w:eastAsia="仿宋" w:cs="仿宋_GB2312"/>
          <w:sz w:val="32"/>
          <w:szCs w:val="32"/>
        </w:rPr>
        <w:t>需进一步提高防风险能力</w:t>
      </w:r>
      <w:r>
        <w:rPr>
          <w:rFonts w:hint="eastAsia" w:ascii="仿宋" w:eastAsia="仿宋" w:cs="仿宋_GB2312"/>
          <w:sz w:val="32"/>
          <w:szCs w:val="32"/>
        </w:rPr>
        <w:t>及风险研判能力。</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（三）改进建议。</w:t>
      </w:r>
    </w:p>
    <w:p>
      <w:pPr>
        <w:spacing w:line="640" w:lineRule="exact"/>
        <w:ind w:firstLine="640" w:firstLineChars="200"/>
        <w:rPr>
          <w:rFonts w:ascii="仿宋" w:eastAsia="仿宋"/>
          <w:sz w:val="32"/>
          <w:szCs w:val="32"/>
          <w:lang w:val="zh-CN"/>
        </w:rPr>
      </w:pPr>
      <w:r>
        <w:rPr>
          <w:rFonts w:hint="eastAsia" w:ascii="仿宋" w:eastAsia="仿宋"/>
          <w:sz w:val="32"/>
          <w:szCs w:val="32"/>
          <w:lang w:val="zh-CN"/>
        </w:rPr>
        <w:t xml:space="preserve">1.加强单位职工财经纪律等宣传教育，树立过紧日子思想，提高资金使用进度。    </w:t>
      </w:r>
    </w:p>
    <w:p>
      <w:pPr>
        <w:spacing w:line="580" w:lineRule="exact"/>
        <w:ind w:firstLine="640" w:firstLineChars="200"/>
        <w:rPr>
          <w:rFonts w:ascii="仿宋" w:eastAsia="仿宋" w:cs="仿宋_GB2312"/>
          <w:sz w:val="32"/>
          <w:szCs w:val="32"/>
        </w:rPr>
      </w:pPr>
      <w:r>
        <w:rPr>
          <w:rFonts w:hint="eastAsia" w:ascii="仿宋" w:eastAsia="仿宋"/>
          <w:sz w:val="32"/>
          <w:szCs w:val="32"/>
          <w:lang w:val="zh-CN"/>
        </w:rPr>
        <w:t>2.</w:t>
      </w:r>
      <w:r>
        <w:rPr>
          <w:rFonts w:hint="eastAsia" w:ascii="仿宋" w:eastAsia="仿宋" w:cs="仿宋_GB2312"/>
          <w:sz w:val="32"/>
          <w:szCs w:val="32"/>
        </w:rPr>
        <w:t>在资金执行过程中</w:t>
      </w:r>
      <w:r>
        <w:rPr>
          <w:rFonts w:hint="eastAsia" w:ascii="仿宋" w:eastAsia="仿宋" w:cs="仿宋"/>
          <w:sz w:val="32"/>
          <w:szCs w:val="32"/>
        </w:rPr>
        <w:t>，加强与市财政的沟通协调，建议加快专项经费审批流程，避免年底出现扎推支付现象，争取项目资金能及时拨付到位，</w:t>
      </w:r>
      <w:r>
        <w:rPr>
          <w:rFonts w:hint="eastAsia" w:ascii="仿宋" w:eastAsia="仿宋" w:cs="仿宋_GB2312"/>
          <w:sz w:val="32"/>
          <w:szCs w:val="32"/>
        </w:rPr>
        <w:t>以保证项目建设单位按进度完成分解的绩效目标。</w:t>
      </w:r>
    </w:p>
    <w:p>
      <w:pPr>
        <w:spacing w:line="640" w:lineRule="exact"/>
        <w:ind w:firstLine="640" w:firstLineChars="200"/>
        <w:rPr>
          <w:rFonts w:ascii="仿宋" w:eastAsia="仿宋"/>
          <w:sz w:val="32"/>
          <w:szCs w:val="32"/>
          <w:lang w:val="zh-CN"/>
        </w:rPr>
      </w:pPr>
    </w:p>
    <w:p>
      <w:pPr>
        <w:spacing w:line="580" w:lineRule="exact"/>
        <w:ind w:firstLine="640" w:firstLineChars="200"/>
        <w:rPr>
          <w:rFonts w:ascii="仿宋_GB2312" w:eastAsia="仿宋_GB2312" w:cs="仿宋_GB2312"/>
          <w:sz w:val="32"/>
          <w:szCs w:val="32"/>
        </w:rPr>
      </w:pPr>
    </w:p>
    <w:p>
      <w:pPr>
        <w:widowControl/>
        <w:jc w:val="left"/>
        <w:rPr>
          <w:rFonts w:ascii="仿宋_GB2312" w:eastAsia="仿宋_GB2312" w:cs="仿宋_GB2312"/>
          <w:sz w:val="32"/>
          <w:szCs w:val="32"/>
        </w:rPr>
      </w:pPr>
      <w:r>
        <w:rPr>
          <w:rFonts w:ascii="仿宋_GB2312" w:eastAsia="仿宋_GB2312" w:cs="仿宋_GB2312"/>
          <w:sz w:val="32"/>
          <w:szCs w:val="32"/>
        </w:rPr>
        <w:br w:type="page"/>
      </w:r>
    </w:p>
    <w:p>
      <w:pPr>
        <w:pStyle w:val="3"/>
      </w:pPr>
      <w:bookmarkStart w:id="85" w:name="_Toc20972"/>
      <w:r>
        <w:rPr>
          <w:rFonts w:hint="eastAsia"/>
        </w:rPr>
        <w:t>附件2</w:t>
      </w:r>
      <w:bookmarkEnd w:id="85"/>
    </w:p>
    <w:p>
      <w:pPr>
        <w:spacing w:line="580" w:lineRule="exact"/>
        <w:jc w:val="center"/>
        <w:rPr>
          <w:rFonts w:ascii="黑体" w:eastAsia="黑体" w:cs="方正小标宋简体"/>
          <w:sz w:val="44"/>
          <w:szCs w:val="44"/>
        </w:rPr>
      </w:pPr>
      <w:r>
        <w:rPr>
          <w:rFonts w:hint="eastAsia" w:ascii="黑体" w:eastAsia="黑体" w:cs="方正小标宋简体"/>
          <w:sz w:val="44"/>
          <w:szCs w:val="44"/>
        </w:rPr>
        <w:t>2021年全市性宗教团体工作经费</w:t>
      </w:r>
    </w:p>
    <w:p>
      <w:pPr>
        <w:spacing w:line="580" w:lineRule="exact"/>
        <w:jc w:val="center"/>
        <w:rPr>
          <w:rFonts w:ascii="黑体" w:eastAsia="黑体" w:cs="方正小标宋简体"/>
          <w:sz w:val="44"/>
          <w:szCs w:val="44"/>
        </w:rPr>
      </w:pPr>
      <w:r>
        <w:rPr>
          <w:rFonts w:hint="eastAsia" w:ascii="黑体" w:eastAsia="黑体" w:cs="方正小标宋简体"/>
          <w:sz w:val="44"/>
          <w:szCs w:val="44"/>
        </w:rPr>
        <w:t>项目支出绩效评价报告</w:t>
      </w:r>
    </w:p>
    <w:p>
      <w:pPr>
        <w:spacing w:line="580" w:lineRule="exact"/>
        <w:ind w:firstLine="640" w:firstLineChars="200"/>
        <w:rPr>
          <w:rFonts w:ascii="仿宋_GB2312" w:eastAsia="仿宋_GB2312" w:cs="仿宋_GB2312"/>
          <w:sz w:val="32"/>
          <w:szCs w:val="32"/>
        </w:rPr>
      </w:pPr>
    </w:p>
    <w:p>
      <w:pPr>
        <w:spacing w:line="580" w:lineRule="exact"/>
        <w:ind w:firstLine="640" w:firstLineChars="200"/>
        <w:rPr>
          <w:rFonts w:ascii="黑体" w:eastAsia="黑体" w:cs="仿宋_GB2312"/>
          <w:sz w:val="32"/>
          <w:szCs w:val="32"/>
        </w:rPr>
      </w:pPr>
      <w:r>
        <w:rPr>
          <w:rFonts w:hint="eastAsia" w:ascii="黑体" w:eastAsia="黑体" w:cs="仿宋_GB2312"/>
          <w:sz w:val="32"/>
          <w:szCs w:val="32"/>
        </w:rPr>
        <w:t>一</w:t>
      </w:r>
      <w:r>
        <w:rPr>
          <w:rFonts w:ascii="黑体" w:eastAsia="黑体" w:cs="仿宋_GB2312"/>
          <w:sz w:val="32"/>
          <w:szCs w:val="32"/>
        </w:rPr>
        <w:t>、</w:t>
      </w:r>
      <w:r>
        <w:rPr>
          <w:rFonts w:hint="eastAsia" w:ascii="黑体" w:eastAsia="黑体" w:cs="仿宋_GB2312"/>
          <w:sz w:val="32"/>
          <w:szCs w:val="32"/>
        </w:rPr>
        <w:t>项目</w:t>
      </w:r>
      <w:r>
        <w:rPr>
          <w:rFonts w:ascii="黑体" w:eastAsia="黑体" w:cs="仿宋_GB2312"/>
          <w:sz w:val="32"/>
          <w:szCs w:val="32"/>
        </w:rPr>
        <w:t>概况</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（一）</w:t>
      </w:r>
      <w:r>
        <w:rPr>
          <w:rFonts w:hint="eastAsia" w:ascii="楷体" w:eastAsia="楷体" w:cs="仿宋_GB2312"/>
          <w:b/>
          <w:sz w:val="32"/>
          <w:szCs w:val="32"/>
        </w:rPr>
        <w:t>项目</w:t>
      </w:r>
      <w:r>
        <w:rPr>
          <w:rFonts w:ascii="楷体" w:eastAsia="楷体" w:cs="仿宋_GB2312"/>
          <w:b/>
          <w:sz w:val="32"/>
          <w:szCs w:val="32"/>
        </w:rPr>
        <w:t>基本情况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1.项目主管部门（单位）在该项目管理中的职能</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我委依法保护公民宗教信仰自由和正常的宗教活动，维护宗教界合法权益，支持宗教团体加强自身建设。我市各全市性宗教团体在引导信教群众维护民族团结、宗教和顺、社会稳定，为全面建设幸福美丽攀枝花有积极贡献，但各全市性宗教团体的自养能力较差，日常办公及业务工作开展经费紧张，需对各全市性宗教团体给予一定金额工作经费补助，解决各全市性宗教团体办公及业务工作开展中的一些实际困难。</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2.项目立项、资金申报的依据</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3.资金管理办法制定情况，资金支持具体项目的条件、范围与支持方式概况。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根据我市各全市性宗教团体实际情况初步确定各全市性宗教团体工作经费发放标准，报委党组会审议，审议通过后按照《攀枝花市全市性宗教团体工作经费使用范围》要求，对经费使用情况进行监督管理，确保工作经费落到实处，取得实效。</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4.资金分配的原则及考虑因素。</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通过对各全市性宗教团体给予一定金额工作经费补助，解决各全市性宗教团体办公及业务工作开展中的一些实际困难，进一步加强我市各全市性宗教团体的组织、思想、制度等建设，充分发挥各宗教团体桥梁纽带作用，对维持我市宗教界和谐稳定具有重大积极作用。</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（二）</w:t>
      </w:r>
      <w:r>
        <w:rPr>
          <w:rFonts w:hint="eastAsia" w:ascii="楷体" w:eastAsia="楷体" w:cs="仿宋_GB2312"/>
          <w:b/>
          <w:sz w:val="32"/>
          <w:szCs w:val="32"/>
        </w:rPr>
        <w:t>项目绩效目标</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1.项目主要内容。</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通过对各全市性宗教团体给予一定金额工作经费补助，解决各全市性宗教团体办公及业务工作开展中的一些实际困难，进一步加强我市各全市性宗教团体的组织、思想、制度等建设，充分发挥各宗教团体桥梁纽带作用，对维持我市宗教界和谐稳定具有重大积极作用。</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2.项目应实现的具体绩效目标</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市伊斯兰教协会工作经费7万元、市佛教协会工作经费6万元、市天主教爱国会工作经费6万元、市基督教三自爱国运动委员会工作经费6万元，合计25万元。进一步加强我市各全市性宗教团体的组织、思想、制度等建设，充分发挥各宗教团体桥梁纽带作用，对维持我市宗教界和谐稳定具有重大积极作用。</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3.分析评价申报内容是否与实际相符，申报目标是否合理可行。</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项目分析评价均来源项目实际情况，与实际相符，目标合理可行。</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w:t>
      </w:r>
      <w:r>
        <w:rPr>
          <w:rFonts w:hint="eastAsia" w:ascii="楷体" w:eastAsia="楷体" w:cs="仿宋_GB2312"/>
          <w:b/>
          <w:sz w:val="32"/>
          <w:szCs w:val="32"/>
        </w:rPr>
        <w:t>三</w:t>
      </w:r>
      <w:r>
        <w:rPr>
          <w:rFonts w:ascii="楷体" w:eastAsia="楷体" w:cs="仿宋_GB2312"/>
          <w:b/>
          <w:sz w:val="32"/>
          <w:szCs w:val="32"/>
        </w:rPr>
        <w:t>）</w:t>
      </w:r>
      <w:r>
        <w:rPr>
          <w:rFonts w:hint="eastAsia" w:ascii="楷体" w:eastAsia="楷体" w:cs="仿宋_GB2312"/>
          <w:b/>
          <w:sz w:val="32"/>
          <w:szCs w:val="32"/>
        </w:rPr>
        <w:t>项目自评步骤及方法</w:t>
      </w:r>
    </w:p>
    <w:p>
      <w:pPr>
        <w:spacing w:line="580" w:lineRule="exact"/>
        <w:ind w:firstLine="640" w:firstLineChars="200"/>
        <w:rPr>
          <w:rFonts w:ascii="仿宋" w:eastAsia="仿宋" w:cs="仿宋_GB2312"/>
          <w:sz w:val="32"/>
          <w:szCs w:val="32"/>
        </w:rPr>
      </w:pPr>
      <w:r>
        <w:rPr>
          <w:rFonts w:ascii="仿宋" w:eastAsia="仿宋" w:cs="仿宋_GB2312"/>
          <w:sz w:val="32"/>
          <w:szCs w:val="32"/>
        </w:rPr>
        <w:t>项目通过年初</w:t>
      </w:r>
      <w:r>
        <w:rPr>
          <w:rFonts w:hint="eastAsia" w:ascii="仿宋" w:eastAsia="仿宋" w:cs="仿宋_GB2312"/>
          <w:sz w:val="32"/>
          <w:szCs w:val="32"/>
        </w:rPr>
        <w:t>预算事前绩效评估，对项目编制了绩效目标，预算执行过程中，年中对该项目开展了事中绩效监控，年终执行完毕后，对该项目开展了绩效目标完成情况梳理，填写项目支出绩效评价得分表，并进行了绩效分析，找出存在问题并进行整改。</w:t>
      </w:r>
    </w:p>
    <w:p>
      <w:pPr>
        <w:adjustRightInd w:val="0"/>
        <w:snapToGrid w:val="0"/>
        <w:spacing w:line="600" w:lineRule="exact"/>
        <w:ind w:firstLine="720"/>
        <w:rPr>
          <w:rFonts w:ascii="黑体" w:eastAsia="黑体" w:cs="仿宋_GB2312"/>
          <w:sz w:val="32"/>
          <w:szCs w:val="32"/>
        </w:rPr>
      </w:pPr>
      <w:r>
        <w:rPr>
          <w:rFonts w:hint="eastAsia" w:ascii="黑体" w:eastAsia="黑体" w:cs="仿宋_GB2312"/>
          <w:sz w:val="32"/>
          <w:szCs w:val="32"/>
        </w:rPr>
        <w:t>二、项目资金申报及使用情况</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（一）</w:t>
      </w:r>
      <w:r>
        <w:rPr>
          <w:rFonts w:hint="eastAsia" w:ascii="楷体" w:eastAsia="楷体" w:cs="仿宋_GB2312"/>
          <w:b/>
          <w:sz w:val="32"/>
          <w:szCs w:val="32"/>
        </w:rPr>
        <w:t>项目资金申报及批复情况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项目为年初预算项目，经年初预算申报，财政审批后，批复了《关于202</w:t>
      </w:r>
      <w:r>
        <w:rPr>
          <w:rFonts w:ascii="仿宋" w:eastAsia="仿宋" w:cs="仿宋_GB2312"/>
          <w:sz w:val="32"/>
          <w:szCs w:val="32"/>
        </w:rPr>
        <w:t>1</w:t>
      </w:r>
      <w:r>
        <w:rPr>
          <w:rFonts w:hint="eastAsia" w:ascii="仿宋" w:eastAsia="仿宋" w:cs="仿宋_GB2312"/>
          <w:sz w:val="32"/>
          <w:szCs w:val="32"/>
        </w:rPr>
        <w:t>年市级部门预算的批复》（攀财资预〔202</w:t>
      </w:r>
      <w:r>
        <w:rPr>
          <w:rFonts w:ascii="仿宋" w:eastAsia="仿宋" w:cs="仿宋_GB2312"/>
          <w:sz w:val="32"/>
          <w:szCs w:val="32"/>
        </w:rPr>
        <w:t>1</w:t>
      </w:r>
      <w:r>
        <w:rPr>
          <w:rFonts w:hint="eastAsia" w:ascii="仿宋" w:eastAsia="仿宋" w:cs="仿宋_GB2312"/>
          <w:sz w:val="32"/>
          <w:szCs w:val="32"/>
        </w:rPr>
        <w:t>〕1号），申报25万元，批复25万元。</w:t>
      </w:r>
    </w:p>
    <w:p>
      <w:pPr>
        <w:spacing w:line="580" w:lineRule="exact"/>
        <w:ind w:firstLine="642" w:firstLineChars="200"/>
        <w:rPr>
          <w:rFonts w:ascii="楷体" w:eastAsia="楷体" w:cs="仿宋_GB2312"/>
          <w:b/>
          <w:sz w:val="32"/>
          <w:szCs w:val="32"/>
        </w:rPr>
      </w:pPr>
      <w:r>
        <w:rPr>
          <w:rFonts w:hint="eastAsia" w:ascii="楷体" w:eastAsia="楷体" w:cs="仿宋_GB2312"/>
          <w:b/>
          <w:sz w:val="32"/>
          <w:szCs w:val="32"/>
        </w:rPr>
        <w:t>（二）资金计划、到位及使用情况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1.资金计划。项目计划202</w:t>
      </w:r>
      <w:r>
        <w:rPr>
          <w:rFonts w:ascii="仿宋" w:eastAsia="仿宋" w:cs="仿宋_GB2312"/>
          <w:sz w:val="32"/>
          <w:szCs w:val="32"/>
        </w:rPr>
        <w:t>1</w:t>
      </w:r>
      <w:r>
        <w:rPr>
          <w:rFonts w:hint="eastAsia" w:ascii="仿宋" w:eastAsia="仿宋" w:cs="仿宋_GB2312"/>
          <w:sz w:val="32"/>
          <w:szCs w:val="32"/>
        </w:rPr>
        <w:t>年拨付25万元，均为市级财政资金。</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2.资金到位。市级财政资金到位25万元。</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3.资金使用。202</w:t>
      </w:r>
      <w:r>
        <w:rPr>
          <w:rFonts w:ascii="仿宋" w:eastAsia="仿宋" w:cs="仿宋_GB2312"/>
          <w:sz w:val="32"/>
          <w:szCs w:val="32"/>
        </w:rPr>
        <w:t>1</w:t>
      </w:r>
      <w:r>
        <w:rPr>
          <w:rFonts w:hint="eastAsia" w:ascii="仿宋" w:eastAsia="仿宋" w:cs="仿宋_GB2312"/>
          <w:sz w:val="32"/>
          <w:szCs w:val="32"/>
        </w:rPr>
        <w:t>年该笔项目资金实际拨付市伊斯兰教协会工作经费7万元、市佛教协会工作经费6万元、市天主教爱国会工作经费6万元、市基督教三自爱国运动委员会工作经费6万元，合计25万元。与预算相符。</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（三）</w:t>
      </w:r>
      <w:r>
        <w:rPr>
          <w:rFonts w:hint="eastAsia" w:ascii="楷体" w:eastAsia="楷体" w:cs="仿宋_GB2312"/>
          <w:b/>
          <w:sz w:val="32"/>
          <w:szCs w:val="32"/>
        </w:rPr>
        <w:t>项目财务管理情况。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单位财务管理制度健全，严格执行财务管理制度，账务处理及时，会计核算规范。</w:t>
      </w:r>
    </w:p>
    <w:p>
      <w:pPr>
        <w:adjustRightInd w:val="0"/>
        <w:snapToGrid w:val="0"/>
        <w:spacing w:line="600" w:lineRule="exact"/>
        <w:ind w:firstLine="720"/>
        <w:rPr>
          <w:rFonts w:ascii="黑体" w:eastAsia="黑体" w:cs="仿宋_GB2312"/>
          <w:sz w:val="32"/>
          <w:szCs w:val="32"/>
        </w:rPr>
      </w:pPr>
      <w:r>
        <w:rPr>
          <w:rFonts w:hint="eastAsia" w:ascii="黑体" w:eastAsia="黑体" w:cs="仿宋_GB2312"/>
          <w:sz w:val="32"/>
          <w:szCs w:val="32"/>
        </w:rPr>
        <w:t>三、项目实施及管理情况</w:t>
      </w:r>
    </w:p>
    <w:p>
      <w:pPr>
        <w:adjustRightInd w:val="0"/>
        <w:snapToGrid w:val="0"/>
        <w:spacing w:line="600" w:lineRule="exact"/>
        <w:ind w:firstLine="720"/>
        <w:rPr>
          <w:rFonts w:ascii="楷体_GB2312" w:eastAsia="楷体_GB2312"/>
          <w:b/>
          <w:sz w:val="32"/>
          <w:szCs w:val="32"/>
          <w:lang w:val="zh-CN"/>
        </w:rPr>
      </w:pPr>
      <w:r>
        <w:rPr>
          <w:rFonts w:hint="eastAsia" w:ascii="楷体" w:eastAsia="楷体" w:cs="仿宋_GB2312"/>
          <w:b/>
          <w:sz w:val="32"/>
          <w:szCs w:val="32"/>
        </w:rPr>
        <w:t>（一）项目组织架构及实施流程。</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根据我市各全市性宗教团体实际情况初步确定各全市性宗教团体工作经费发放标准，报委党组会审议，审议通过后按照《攀枝花市全市性宗教团体工作经费使用范围》要求，确定资金拨付分配方案。</w:t>
      </w:r>
    </w:p>
    <w:p>
      <w:pPr>
        <w:spacing w:line="580" w:lineRule="exact"/>
        <w:ind w:firstLine="642" w:firstLineChars="200"/>
        <w:rPr>
          <w:rFonts w:ascii="楷体" w:eastAsia="楷体" w:cs="仿宋_GB2312"/>
          <w:b/>
          <w:sz w:val="32"/>
          <w:szCs w:val="32"/>
        </w:rPr>
      </w:pPr>
      <w:r>
        <w:rPr>
          <w:rFonts w:hint="eastAsia" w:ascii="楷体" w:eastAsia="楷体" w:cs="仿宋_GB2312"/>
          <w:b/>
          <w:sz w:val="32"/>
          <w:szCs w:val="32"/>
        </w:rPr>
        <w:t>（二）项目管理情况。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该笔项目资金实际拨付市伊斯兰教协会工作经费7万元、市佛教协会工作经费6万元、市天主教爱国会工作经费6万元、市基督教三自爱国运动委员会工作经费6万元，合计25万元。对各团体协会下发了《攀枝花市全市性宗教团体工作经费使用范围》，并要求各单位严格按相关要求使用资金。</w:t>
      </w:r>
    </w:p>
    <w:p>
      <w:pPr>
        <w:spacing w:line="580" w:lineRule="exact"/>
        <w:ind w:firstLine="642" w:firstLineChars="200"/>
        <w:rPr>
          <w:rFonts w:ascii="楷体" w:eastAsia="楷体" w:cs="仿宋_GB2312"/>
          <w:b/>
          <w:sz w:val="32"/>
          <w:szCs w:val="32"/>
        </w:rPr>
      </w:pPr>
      <w:r>
        <w:rPr>
          <w:rFonts w:hint="eastAsia" w:ascii="楷体" w:eastAsia="楷体" w:cs="仿宋_GB2312"/>
          <w:b/>
          <w:sz w:val="32"/>
          <w:szCs w:val="32"/>
        </w:rPr>
        <w:t>（三）项目监管情况。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对经费使用情况进行了定时不定时的监督管理，确保工作经费落到实处，取得实效。</w:t>
      </w:r>
    </w:p>
    <w:p>
      <w:pPr>
        <w:adjustRightInd w:val="0"/>
        <w:snapToGrid w:val="0"/>
        <w:spacing w:line="600" w:lineRule="exact"/>
        <w:ind w:firstLine="640" w:firstLineChars="200"/>
        <w:rPr>
          <w:rFonts w:ascii="仿宋_GB2312" w:eastAsia="仿宋_GB2312"/>
          <w:sz w:val="32"/>
          <w:szCs w:val="32"/>
          <w:lang w:val="zh-CN"/>
        </w:rPr>
      </w:pPr>
      <w:r>
        <w:rPr>
          <w:rFonts w:hint="eastAsia" w:ascii="黑体" w:eastAsia="黑体"/>
          <w:sz w:val="32"/>
          <w:szCs w:val="32"/>
        </w:rPr>
        <w:t>四、项目绩效情况</w:t>
      </w:r>
      <w:r>
        <w:rPr>
          <w:rFonts w:ascii="仿宋_GB2312" w:eastAsia="仿宋_GB2312"/>
          <w:sz w:val="32"/>
          <w:szCs w:val="32"/>
          <w:lang w:val="zh-CN"/>
        </w:rPr>
        <w:tab/>
      </w:r>
    </w:p>
    <w:p>
      <w:pPr>
        <w:adjustRightInd w:val="0"/>
        <w:snapToGrid w:val="0"/>
        <w:spacing w:line="600" w:lineRule="exact"/>
        <w:ind w:left="640"/>
        <w:rPr>
          <w:rFonts w:ascii="仿宋_GB2312" w:eastAsia="仿宋_GB2312"/>
          <w:sz w:val="32"/>
          <w:szCs w:val="32"/>
          <w:lang w:val="zh-CN"/>
        </w:rPr>
      </w:pPr>
      <w:r>
        <w:rPr>
          <w:rFonts w:hint="eastAsia" w:ascii="楷体" w:eastAsia="楷体" w:cs="仿宋_GB2312"/>
          <w:b/>
          <w:sz w:val="32"/>
          <w:szCs w:val="32"/>
        </w:rPr>
        <w:t>（一）项目完成情况</w:t>
      </w:r>
    </w:p>
    <w:p>
      <w:pPr>
        <w:adjustRightInd w:val="0"/>
        <w:snapToGrid w:val="0"/>
        <w:spacing w:line="600" w:lineRule="exact"/>
        <w:ind w:firstLine="640" w:firstLineChars="200"/>
        <w:rPr>
          <w:rFonts w:ascii="仿宋_GB2312" w:eastAsia="仿宋_GB2312"/>
          <w:sz w:val="32"/>
          <w:szCs w:val="32"/>
          <w:lang w:val="zh-CN"/>
        </w:rPr>
      </w:pPr>
      <w:r>
        <w:rPr>
          <w:rFonts w:hint="eastAsia" w:ascii="仿宋" w:eastAsia="仿宋" w:cs="仿宋_GB2312"/>
          <w:sz w:val="32"/>
          <w:szCs w:val="32"/>
        </w:rPr>
        <w:t>市伊斯兰教协会工作经费7万元、市佛教协会工作经费6万元、市天主教爱国会工作经费6万元、市基督教三自爱国运动委员会工作经费6万元，合计25万元。进一步加强我市各全市性宗教团体的组织、思想、制度等建设，充分发挥各宗教团体桥梁纽带作用，对维持我市宗教界和谐稳定具有重大积极作用。</w:t>
      </w:r>
    </w:p>
    <w:p>
      <w:pPr>
        <w:adjustRightInd w:val="0"/>
        <w:snapToGrid w:val="0"/>
        <w:spacing w:line="600" w:lineRule="exact"/>
        <w:ind w:firstLine="720"/>
        <w:rPr>
          <w:rFonts w:ascii="楷体" w:eastAsia="楷体" w:cs="仿宋_GB2312"/>
          <w:b/>
          <w:sz w:val="32"/>
          <w:szCs w:val="32"/>
        </w:rPr>
      </w:pPr>
      <w:r>
        <w:rPr>
          <w:rFonts w:hint="eastAsia" w:ascii="楷体" w:eastAsia="楷体" w:cs="仿宋_GB2312"/>
          <w:b/>
          <w:sz w:val="32"/>
          <w:szCs w:val="32"/>
        </w:rPr>
        <w:t>（二）项目效益情况</w:t>
      </w:r>
    </w:p>
    <w:p>
      <w:pPr>
        <w:adjustRightInd w:val="0"/>
        <w:snapToGrid w:val="0"/>
        <w:spacing w:line="600" w:lineRule="exact"/>
        <w:ind w:firstLine="720"/>
        <w:rPr>
          <w:rFonts w:ascii="仿宋" w:eastAsia="仿宋" w:cs="仿宋_GB2312"/>
          <w:sz w:val="32"/>
          <w:szCs w:val="32"/>
        </w:rPr>
      </w:pPr>
      <w:r>
        <w:rPr>
          <w:rFonts w:hint="eastAsia" w:ascii="仿宋" w:eastAsia="仿宋"/>
          <w:sz w:val="32"/>
          <w:szCs w:val="32"/>
        </w:rPr>
        <w:t>该项目于202</w:t>
      </w:r>
      <w:r>
        <w:rPr>
          <w:rFonts w:ascii="仿宋" w:eastAsia="仿宋"/>
          <w:sz w:val="32"/>
          <w:szCs w:val="32"/>
        </w:rPr>
        <w:t>1</w:t>
      </w:r>
      <w:r>
        <w:rPr>
          <w:rFonts w:hint="eastAsia" w:ascii="仿宋" w:eastAsia="仿宋"/>
          <w:sz w:val="32"/>
          <w:szCs w:val="32"/>
        </w:rPr>
        <w:t>年12月前全面完成。绩效指标达到了预期设定的目标值，绩效目标完成较好。该项目的实施</w:t>
      </w:r>
      <w:r>
        <w:rPr>
          <w:rFonts w:hint="eastAsia" w:ascii="仿宋" w:eastAsia="仿宋" w:cs="宋体"/>
          <w:color w:val="000000"/>
          <w:sz w:val="32"/>
          <w:szCs w:val="32"/>
        </w:rPr>
        <w:t>保障了全市宗教团体必要的工作经费，</w:t>
      </w:r>
      <w:r>
        <w:rPr>
          <w:rFonts w:hint="eastAsia" w:ascii="仿宋" w:eastAsia="仿宋" w:cs="仿宋_GB2312"/>
          <w:sz w:val="32"/>
          <w:szCs w:val="32"/>
        </w:rPr>
        <w:t>落实了党的宗教政策，</w:t>
      </w:r>
      <w:r>
        <w:rPr>
          <w:rFonts w:hint="eastAsia" w:ascii="仿宋" w:eastAsia="仿宋"/>
          <w:sz w:val="32"/>
          <w:szCs w:val="32"/>
        </w:rPr>
        <w:t>团结、争取、教育宗教界人士和广大信教群众，</w:t>
      </w:r>
      <w:r>
        <w:rPr>
          <w:rFonts w:hint="eastAsia" w:ascii="仿宋" w:eastAsia="仿宋" w:cs="仿宋_GB2312"/>
          <w:sz w:val="32"/>
          <w:szCs w:val="32"/>
        </w:rPr>
        <w:t xml:space="preserve"> 该项目满意度测评，宗教界人士达满意及以上。</w:t>
      </w:r>
    </w:p>
    <w:p>
      <w:pPr>
        <w:adjustRightInd w:val="0"/>
        <w:snapToGrid w:val="0"/>
        <w:spacing w:line="600" w:lineRule="exact"/>
        <w:ind w:firstLine="720"/>
        <w:rPr>
          <w:rFonts w:ascii="黑体" w:eastAsia="黑体"/>
          <w:sz w:val="32"/>
          <w:szCs w:val="32"/>
        </w:rPr>
      </w:pPr>
      <w:r>
        <w:rPr>
          <w:rFonts w:hint="eastAsia" w:ascii="黑体" w:eastAsia="黑体"/>
          <w:sz w:val="32"/>
          <w:szCs w:val="32"/>
        </w:rPr>
        <w:t>五、评价结论及建议</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（一）评价结论</w:t>
      </w:r>
    </w:p>
    <w:p>
      <w:pPr>
        <w:spacing w:line="640" w:lineRule="exact"/>
        <w:ind w:firstLine="640" w:firstLineChars="200"/>
        <w:rPr>
          <w:rFonts w:ascii="仿宋" w:eastAsia="仿宋"/>
          <w:sz w:val="32"/>
          <w:szCs w:val="32"/>
        </w:rPr>
      </w:pPr>
      <w:r>
        <w:rPr>
          <w:rFonts w:hint="eastAsia" w:ascii="仿宋" w:eastAsia="仿宋"/>
          <w:sz w:val="32"/>
          <w:szCs w:val="32"/>
        </w:rPr>
        <w:t>本部门对</w:t>
      </w:r>
      <w:r>
        <w:rPr>
          <w:rFonts w:hint="eastAsia" w:ascii="仿宋" w:eastAsia="仿宋" w:cs="宋体"/>
          <w:color w:val="000000"/>
          <w:sz w:val="32"/>
          <w:szCs w:val="32"/>
        </w:rPr>
        <w:t>全市性宗教团体工作经费</w:t>
      </w:r>
      <w:r>
        <w:rPr>
          <w:rFonts w:hint="eastAsia" w:ascii="仿宋" w:eastAsia="仿宋"/>
          <w:sz w:val="32"/>
          <w:szCs w:val="32"/>
        </w:rPr>
        <w:t>项目开展了绩效评价，得分为96分，项目总体完成较好，项目做到专项专用。</w:t>
      </w:r>
    </w:p>
    <w:p>
      <w:pPr>
        <w:spacing w:line="640" w:lineRule="exact"/>
        <w:jc w:val="center"/>
        <w:rPr>
          <w:rFonts w:ascii="黑体" w:eastAsia="黑体"/>
          <w:sz w:val="32"/>
          <w:szCs w:val="32"/>
        </w:rPr>
      </w:pPr>
      <w:r>
        <w:rPr>
          <w:rFonts w:hint="eastAsia" w:ascii="黑体" w:eastAsia="黑体"/>
          <w:sz w:val="32"/>
          <w:szCs w:val="32"/>
        </w:rPr>
        <w:t>202</w:t>
      </w:r>
      <w:r>
        <w:rPr>
          <w:rFonts w:ascii="黑体" w:eastAsia="黑体"/>
          <w:sz w:val="32"/>
          <w:szCs w:val="32"/>
        </w:rPr>
        <w:t>1</w:t>
      </w:r>
      <w:r>
        <w:rPr>
          <w:rFonts w:hint="eastAsia" w:ascii="黑体" w:eastAsia="黑体"/>
          <w:sz w:val="32"/>
          <w:szCs w:val="32"/>
        </w:rPr>
        <w:t>年项目支出绩效评价得分表</w:t>
      </w:r>
    </w:p>
    <w:tbl>
      <w:tblPr>
        <w:tblStyle w:val="12"/>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640"/>
        <w:gridCol w:w="3494"/>
        <w:gridCol w:w="1297"/>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cs="宋体"/>
                <w:b/>
                <w:bCs/>
                <w:kern w:val="0"/>
                <w:sz w:val="20"/>
                <w:szCs w:val="20"/>
              </w:rPr>
            </w:pPr>
            <w:r>
              <w:rPr>
                <w:rFonts w:hint="eastAsia" w:ascii="宋体" w:cs="宋体"/>
                <w:b/>
                <w:bCs/>
                <w:kern w:val="0"/>
                <w:sz w:val="20"/>
                <w:szCs w:val="20"/>
              </w:rPr>
              <w:t>单位名称/</w:t>
            </w:r>
          </w:p>
          <w:p>
            <w:pPr>
              <w:widowControl/>
              <w:spacing w:line="280" w:lineRule="exact"/>
              <w:rPr>
                <w:rFonts w:ascii="宋体" w:cs="宋体"/>
                <w:b/>
                <w:bCs/>
                <w:kern w:val="0"/>
                <w:sz w:val="20"/>
                <w:szCs w:val="20"/>
              </w:rPr>
            </w:pPr>
            <w:r>
              <w:rPr>
                <w:rFonts w:hint="eastAsia" w:ascii="宋体" w:cs="宋体"/>
                <w:b/>
                <w:bCs/>
                <w:kern w:val="0"/>
                <w:sz w:val="20"/>
                <w:szCs w:val="20"/>
              </w:rPr>
              <w:t>项目名称</w:t>
            </w:r>
          </w:p>
        </w:tc>
        <w:tc>
          <w:tcPr>
            <w:tcW w:w="717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cs="宋体"/>
                <w:b/>
                <w:bCs/>
                <w:kern w:val="0"/>
                <w:sz w:val="28"/>
                <w:szCs w:val="18"/>
              </w:rPr>
            </w:pPr>
            <w:r>
              <w:rPr>
                <w:rFonts w:hint="eastAsia" w:ascii="宋体" w:cs="宋体"/>
                <w:color w:val="000000"/>
                <w:sz w:val="24"/>
              </w:rPr>
              <w:t>全市性宗教团体工作经费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cs="宋体"/>
                <w:b/>
                <w:bCs/>
                <w:kern w:val="0"/>
                <w:sz w:val="20"/>
                <w:szCs w:val="20"/>
              </w:rPr>
            </w:pPr>
            <w:r>
              <w:rPr>
                <w:rFonts w:hint="eastAsia" w:ascii="宋体" w:cs="宋体"/>
                <w:b/>
                <w:bCs/>
                <w:kern w:val="0"/>
                <w:sz w:val="20"/>
                <w:szCs w:val="20"/>
              </w:rPr>
              <w:t>一级指标</w:t>
            </w:r>
          </w:p>
        </w:tc>
        <w:tc>
          <w:tcPr>
            <w:tcW w:w="1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cs="宋体"/>
                <w:b/>
                <w:bCs/>
                <w:kern w:val="0"/>
                <w:sz w:val="20"/>
                <w:szCs w:val="20"/>
              </w:rPr>
            </w:pPr>
            <w:r>
              <w:rPr>
                <w:rFonts w:hint="eastAsia" w:ascii="宋体" w:cs="宋体"/>
                <w:b/>
                <w:bCs/>
                <w:kern w:val="0"/>
                <w:sz w:val="20"/>
                <w:szCs w:val="20"/>
              </w:rPr>
              <w:t>二级指标</w:t>
            </w: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cs="宋体"/>
                <w:b/>
                <w:bCs/>
                <w:kern w:val="0"/>
                <w:sz w:val="20"/>
                <w:szCs w:val="20"/>
              </w:rPr>
            </w:pPr>
            <w:r>
              <w:rPr>
                <w:rFonts w:hint="eastAsia" w:ascii="宋体" w:cs="宋体"/>
                <w:b/>
                <w:bCs/>
                <w:kern w:val="0"/>
                <w:sz w:val="20"/>
                <w:szCs w:val="20"/>
              </w:rPr>
              <w:t>三级指标</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cs="宋体"/>
                <w:b/>
                <w:bCs/>
                <w:kern w:val="0"/>
                <w:sz w:val="20"/>
                <w:szCs w:val="20"/>
              </w:rPr>
            </w:pPr>
            <w:r>
              <w:rPr>
                <w:rFonts w:hint="eastAsia" w:ascii="宋体" w:cs="宋体"/>
                <w:b/>
                <w:bCs/>
                <w:kern w:val="0"/>
                <w:sz w:val="20"/>
                <w:szCs w:val="20"/>
              </w:rPr>
              <w:t>分值</w:t>
            </w:r>
          </w:p>
        </w:tc>
        <w:tc>
          <w:tcPr>
            <w:tcW w:w="748"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cs="宋体"/>
                <w:b/>
                <w:bCs/>
                <w:kern w:val="0"/>
                <w:sz w:val="18"/>
                <w:szCs w:val="18"/>
              </w:rPr>
            </w:pPr>
            <w:r>
              <w:rPr>
                <w:rFonts w:hint="eastAsia" w:ascii="宋体" w:cs="宋体"/>
                <w:b/>
                <w:bCs/>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1283"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320" w:lineRule="exact"/>
              <w:jc w:val="center"/>
              <w:rPr>
                <w:rFonts w:ascii="宋体" w:cs="宋体"/>
                <w:kern w:val="0"/>
                <w:sz w:val="20"/>
                <w:szCs w:val="20"/>
              </w:rPr>
            </w:pPr>
            <w:r>
              <w:rPr>
                <w:rFonts w:hint="eastAsia" w:ascii="宋体" w:cs="宋体"/>
                <w:kern w:val="0"/>
                <w:sz w:val="20"/>
                <w:szCs w:val="20"/>
              </w:rPr>
              <w:t>（20分）</w:t>
            </w:r>
            <w:r>
              <w:rPr>
                <w:rFonts w:hint="eastAsia" w:ascii="宋体" w:cs="宋体"/>
                <w:kern w:val="0"/>
                <w:sz w:val="20"/>
                <w:szCs w:val="20"/>
              </w:rPr>
              <w:br w:type="textWrapping"/>
            </w:r>
            <w:r>
              <w:rPr>
                <w:rFonts w:hint="eastAsia" w:ascii="宋体" w:cs="宋体"/>
                <w:kern w:val="0"/>
                <w:sz w:val="20"/>
                <w:szCs w:val="20"/>
              </w:rPr>
              <w:t>项目决策</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220" w:lineRule="exact"/>
              <w:jc w:val="center"/>
              <w:rPr>
                <w:rFonts w:ascii="宋体" w:cs="宋体"/>
                <w:kern w:val="0"/>
                <w:sz w:val="20"/>
                <w:szCs w:val="20"/>
              </w:rPr>
            </w:pPr>
            <w:r>
              <w:rPr>
                <w:rFonts w:hint="eastAsia" w:ascii="宋体" w:cs="宋体"/>
                <w:kern w:val="0"/>
                <w:sz w:val="20"/>
                <w:szCs w:val="20"/>
              </w:rPr>
              <w:t>（10分）</w:t>
            </w:r>
            <w:r>
              <w:rPr>
                <w:rFonts w:hint="eastAsia" w:ascii="宋体" w:cs="宋体"/>
                <w:kern w:val="0"/>
                <w:sz w:val="20"/>
                <w:szCs w:val="20"/>
              </w:rPr>
              <w:br w:type="textWrapping"/>
            </w:r>
            <w:r>
              <w:rPr>
                <w:rFonts w:hint="eastAsia" w:ascii="宋体" w:cs="宋体"/>
                <w:kern w:val="0"/>
                <w:sz w:val="20"/>
                <w:szCs w:val="20"/>
              </w:rPr>
              <w:t>科学决策</w:t>
            </w: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rPr>
                <w:rFonts w:ascii="宋体" w:cs="宋体"/>
                <w:kern w:val="0"/>
                <w:sz w:val="20"/>
                <w:szCs w:val="20"/>
              </w:rPr>
            </w:pPr>
            <w:r>
              <w:rPr>
                <w:rFonts w:hint="eastAsia" w:ascii="宋体" w:cs="宋体"/>
                <w:kern w:val="0"/>
                <w:sz w:val="20"/>
                <w:szCs w:val="20"/>
              </w:rPr>
              <w:t>必要性</w:t>
            </w:r>
            <w:r>
              <w:rPr>
                <w:rFonts w:hint="eastAsia" w:ascii="宋体" w:cs="宋体"/>
                <w:kern w:val="0"/>
                <w:sz w:val="20"/>
                <w:szCs w:val="20"/>
              </w:rPr>
              <w:br w:type="textWrapping"/>
            </w:r>
            <w:r>
              <w:rPr>
                <w:rFonts w:hint="eastAsia" w:ascii="宋体" w:cs="宋体"/>
                <w:kern w:val="0"/>
                <w:sz w:val="20"/>
                <w:szCs w:val="20"/>
              </w:rPr>
              <w:t>（政策依据)</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rPr>
                <w:rFonts w:ascii="宋体" w:cs="宋体"/>
                <w:kern w:val="0"/>
                <w:sz w:val="20"/>
                <w:szCs w:val="20"/>
              </w:rPr>
            </w:pPr>
            <w:r>
              <w:rPr>
                <w:rFonts w:hint="eastAsia" w:ascii="宋体" w:cs="宋体"/>
                <w:kern w:val="0"/>
                <w:sz w:val="20"/>
                <w:szCs w:val="20"/>
              </w:rPr>
              <w:t>5</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220" w:lineRule="exact"/>
              <w:rPr>
                <w:rFonts w:ascii="宋体" w:cs="宋体"/>
                <w:kern w:val="0"/>
                <w:sz w:val="20"/>
                <w:szCs w:val="20"/>
              </w:rPr>
            </w:pPr>
            <w:r>
              <w:rPr>
                <w:rFonts w:hint="eastAsia" w:asci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rPr>
                <w:rFonts w:ascii="宋体" w:cs="宋体"/>
                <w:kern w:val="0"/>
                <w:sz w:val="20"/>
                <w:szCs w:val="20"/>
              </w:rPr>
            </w:pPr>
            <w:r>
              <w:rPr>
                <w:rFonts w:hint="eastAsia" w:ascii="宋体" w:cs="宋体"/>
                <w:kern w:val="0"/>
                <w:sz w:val="20"/>
                <w:szCs w:val="20"/>
              </w:rPr>
              <w:t>可行性</w:t>
            </w:r>
            <w:r>
              <w:rPr>
                <w:rFonts w:hint="eastAsia" w:ascii="宋体" w:cs="宋体"/>
                <w:kern w:val="0"/>
                <w:sz w:val="20"/>
                <w:szCs w:val="20"/>
              </w:rPr>
              <w:br w:type="textWrapping"/>
            </w:r>
            <w:r>
              <w:rPr>
                <w:rFonts w:hint="eastAsia" w:ascii="宋体" w:cs="宋体"/>
                <w:kern w:val="0"/>
                <w:sz w:val="20"/>
                <w:szCs w:val="20"/>
              </w:rPr>
              <w:t>（政策完善）</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rPr>
                <w:rFonts w:ascii="宋体" w:cs="宋体"/>
                <w:kern w:val="0"/>
                <w:sz w:val="20"/>
                <w:szCs w:val="20"/>
              </w:rPr>
            </w:pPr>
            <w:r>
              <w:rPr>
                <w:rFonts w:hint="eastAsia" w:ascii="宋体" w:cs="宋体"/>
                <w:kern w:val="0"/>
                <w:sz w:val="20"/>
                <w:szCs w:val="20"/>
              </w:rPr>
              <w:t>5</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220" w:lineRule="exact"/>
              <w:rPr>
                <w:rFonts w:ascii="宋体" w:cs="宋体"/>
                <w:kern w:val="0"/>
                <w:sz w:val="20"/>
                <w:szCs w:val="20"/>
              </w:rPr>
            </w:pPr>
            <w:r>
              <w:rPr>
                <w:rFonts w:hint="eastAsia" w:asci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320" w:lineRule="exact"/>
              <w:jc w:val="center"/>
              <w:rPr>
                <w:rFonts w:ascii="宋体" w:cs="宋体"/>
                <w:kern w:val="0"/>
                <w:sz w:val="20"/>
                <w:szCs w:val="20"/>
              </w:rPr>
            </w:pPr>
            <w:r>
              <w:rPr>
                <w:rFonts w:hint="eastAsia" w:ascii="宋体" w:cs="宋体"/>
                <w:kern w:val="0"/>
                <w:sz w:val="20"/>
                <w:szCs w:val="20"/>
              </w:rPr>
              <w:t>（10）</w:t>
            </w:r>
            <w:r>
              <w:rPr>
                <w:rFonts w:hint="eastAsia" w:ascii="宋体" w:cs="宋体"/>
                <w:kern w:val="0"/>
                <w:sz w:val="20"/>
                <w:szCs w:val="20"/>
              </w:rPr>
              <w:br w:type="textWrapping"/>
            </w:r>
            <w:r>
              <w:rPr>
                <w:rFonts w:hint="eastAsia" w:ascii="宋体" w:cs="宋体"/>
                <w:kern w:val="0"/>
                <w:sz w:val="20"/>
                <w:szCs w:val="20"/>
              </w:rPr>
              <w:t>绩效目标</w:t>
            </w: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明确性</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5</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r>
              <w:rPr>
                <w:rFonts w:hint="eastAsia" w:asci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合理性</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5</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r>
              <w:rPr>
                <w:rFonts w:hint="eastAsia" w:asci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283"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320" w:lineRule="exact"/>
              <w:jc w:val="center"/>
              <w:rPr>
                <w:rFonts w:ascii="宋体" w:cs="宋体"/>
                <w:kern w:val="0"/>
                <w:sz w:val="20"/>
                <w:szCs w:val="20"/>
              </w:rPr>
            </w:pPr>
            <w:r>
              <w:rPr>
                <w:rFonts w:hint="eastAsia" w:ascii="宋体" w:cs="宋体"/>
                <w:kern w:val="0"/>
                <w:sz w:val="20"/>
                <w:szCs w:val="20"/>
              </w:rPr>
              <w:t>（10分）</w:t>
            </w:r>
            <w:r>
              <w:rPr>
                <w:rFonts w:hint="eastAsia" w:ascii="宋体" w:cs="宋体"/>
                <w:kern w:val="0"/>
                <w:sz w:val="20"/>
                <w:szCs w:val="20"/>
              </w:rPr>
              <w:br w:type="textWrapping"/>
            </w:r>
            <w:r>
              <w:rPr>
                <w:rFonts w:hint="eastAsia" w:ascii="宋体" w:cs="宋体"/>
                <w:kern w:val="0"/>
                <w:sz w:val="20"/>
                <w:szCs w:val="20"/>
              </w:rPr>
              <w:t>项目管理</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320" w:lineRule="exact"/>
              <w:jc w:val="center"/>
              <w:rPr>
                <w:rFonts w:ascii="宋体" w:cs="宋体"/>
                <w:kern w:val="0"/>
                <w:sz w:val="20"/>
                <w:szCs w:val="20"/>
              </w:rPr>
            </w:pPr>
            <w:r>
              <w:rPr>
                <w:rFonts w:hint="eastAsia" w:ascii="宋体" w:cs="宋体"/>
                <w:kern w:val="0"/>
                <w:sz w:val="20"/>
                <w:szCs w:val="20"/>
              </w:rPr>
              <w:t>（7分）</w:t>
            </w:r>
            <w:r>
              <w:rPr>
                <w:rFonts w:hint="eastAsia" w:ascii="宋体" w:cs="宋体"/>
                <w:kern w:val="0"/>
                <w:sz w:val="20"/>
                <w:szCs w:val="20"/>
              </w:rPr>
              <w:br w:type="textWrapping"/>
            </w:r>
            <w:r>
              <w:rPr>
                <w:rFonts w:hint="eastAsia" w:ascii="宋体" w:cs="宋体"/>
                <w:kern w:val="0"/>
                <w:sz w:val="20"/>
                <w:szCs w:val="20"/>
              </w:rPr>
              <w:t>资金管理</w:t>
            </w: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资金分配</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3</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r>
              <w:rPr>
                <w:rFonts w:hint="eastAsia" w:asci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资金使用</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4</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r>
              <w:rPr>
                <w:rFonts w:hint="eastAsia" w:asci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320" w:lineRule="exact"/>
              <w:jc w:val="center"/>
              <w:rPr>
                <w:rFonts w:ascii="宋体" w:cs="宋体"/>
                <w:kern w:val="0"/>
                <w:sz w:val="20"/>
                <w:szCs w:val="20"/>
              </w:rPr>
            </w:pPr>
            <w:r>
              <w:rPr>
                <w:rFonts w:hint="eastAsia" w:ascii="宋体" w:cs="宋体"/>
                <w:kern w:val="0"/>
                <w:sz w:val="20"/>
                <w:szCs w:val="20"/>
              </w:rPr>
              <w:t>（3分）</w:t>
            </w:r>
            <w:r>
              <w:rPr>
                <w:rFonts w:hint="eastAsia" w:ascii="宋体" w:cs="宋体"/>
                <w:kern w:val="0"/>
                <w:sz w:val="20"/>
                <w:szCs w:val="20"/>
              </w:rPr>
              <w:br w:type="textWrapping"/>
            </w:r>
            <w:r>
              <w:rPr>
                <w:rFonts w:hint="eastAsia" w:ascii="宋体" w:cs="宋体"/>
                <w:kern w:val="0"/>
                <w:sz w:val="20"/>
                <w:szCs w:val="20"/>
              </w:rPr>
              <w:t>项目执行</w:t>
            </w: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执行规范</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3</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p>
          <w:p>
            <w:pPr>
              <w:widowControl/>
              <w:spacing w:line="320" w:lineRule="exact"/>
              <w:rPr>
                <w:rFonts w:ascii="宋体" w:cs="宋体"/>
                <w:kern w:val="0"/>
                <w:sz w:val="20"/>
                <w:szCs w:val="20"/>
              </w:rPr>
            </w:pPr>
            <w:r>
              <w:rPr>
                <w:rFonts w:hint="eastAsia" w:asci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283"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320" w:lineRule="exact"/>
              <w:jc w:val="center"/>
              <w:rPr>
                <w:rFonts w:ascii="宋体" w:cs="宋体"/>
                <w:kern w:val="0"/>
                <w:sz w:val="20"/>
                <w:szCs w:val="20"/>
              </w:rPr>
            </w:pPr>
            <w:r>
              <w:rPr>
                <w:rFonts w:hint="eastAsia" w:ascii="宋体" w:cs="宋体"/>
                <w:kern w:val="0"/>
                <w:sz w:val="20"/>
                <w:szCs w:val="20"/>
              </w:rPr>
              <w:t>（特性指标70分）</w:t>
            </w:r>
            <w:r>
              <w:rPr>
                <w:rFonts w:hint="eastAsia" w:ascii="宋体" w:cs="宋体"/>
                <w:kern w:val="0"/>
                <w:sz w:val="20"/>
                <w:szCs w:val="20"/>
              </w:rPr>
              <w:br w:type="textWrapping"/>
            </w:r>
            <w:r>
              <w:rPr>
                <w:rFonts w:hint="eastAsia" w:ascii="宋体" w:cs="宋体"/>
                <w:kern w:val="0"/>
                <w:sz w:val="20"/>
                <w:szCs w:val="20"/>
              </w:rPr>
              <w:t>项目绩效</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320" w:lineRule="exact"/>
              <w:jc w:val="center"/>
              <w:rPr>
                <w:rFonts w:ascii="宋体" w:cs="宋体"/>
                <w:kern w:val="0"/>
                <w:sz w:val="20"/>
                <w:szCs w:val="20"/>
              </w:rPr>
            </w:pPr>
            <w:r>
              <w:rPr>
                <w:rFonts w:hint="eastAsia" w:ascii="宋体" w:cs="宋体"/>
                <w:kern w:val="0"/>
                <w:sz w:val="20"/>
                <w:szCs w:val="20"/>
              </w:rPr>
              <w:t>（20）</w:t>
            </w:r>
            <w:r>
              <w:rPr>
                <w:rFonts w:hint="eastAsia" w:ascii="宋体" w:cs="宋体"/>
                <w:kern w:val="0"/>
                <w:sz w:val="20"/>
                <w:szCs w:val="20"/>
              </w:rPr>
              <w:br w:type="textWrapping"/>
            </w:r>
            <w:r>
              <w:rPr>
                <w:rFonts w:hint="eastAsia" w:ascii="宋体" w:cs="宋体"/>
                <w:kern w:val="0"/>
                <w:sz w:val="20"/>
                <w:szCs w:val="20"/>
              </w:rPr>
              <w:t>项目完成</w:t>
            </w: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left"/>
              <w:rPr>
                <w:rFonts w:ascii="宋体" w:cs="宋体"/>
                <w:kern w:val="0"/>
                <w:sz w:val="20"/>
                <w:szCs w:val="20"/>
              </w:rPr>
            </w:pPr>
            <w:r>
              <w:rPr>
                <w:rFonts w:hint="eastAsia" w:ascii="宋体" w:cs="宋体"/>
                <w:kern w:val="0"/>
                <w:sz w:val="20"/>
                <w:szCs w:val="20"/>
              </w:rPr>
              <w:t>完成数量</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cs="宋体"/>
                <w:kern w:val="0"/>
                <w:sz w:val="20"/>
                <w:szCs w:val="20"/>
              </w:rPr>
            </w:pPr>
            <w:r>
              <w:rPr>
                <w:rFonts w:hint="eastAsia" w:ascii="宋体" w:cs="宋体"/>
                <w:kern w:val="0"/>
                <w:sz w:val="20"/>
                <w:szCs w:val="20"/>
              </w:rPr>
              <w:t>5</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jc w:val="center"/>
              <w:rPr>
                <w:rFonts w:ascii="宋体" w:cs="宋体"/>
                <w:kern w:val="0"/>
                <w:sz w:val="20"/>
                <w:szCs w:val="20"/>
              </w:rPr>
            </w:pPr>
            <w:r>
              <w:rPr>
                <w:rFonts w:hint="eastAsia" w:asci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完成质量</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 xml:space="preserve">5 </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r>
              <w:rPr>
                <w:rFonts w:hint="eastAsia" w:asci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完成时效</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5</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r>
              <w:rPr>
                <w:rFonts w:hint="eastAsia" w:asci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完成成本</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5</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r>
              <w:rPr>
                <w:rFonts w:hint="eastAsia" w:asci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320" w:lineRule="exact"/>
              <w:jc w:val="center"/>
              <w:rPr>
                <w:rFonts w:ascii="宋体" w:cs="宋体"/>
                <w:kern w:val="0"/>
                <w:sz w:val="20"/>
                <w:szCs w:val="20"/>
              </w:rPr>
            </w:pPr>
            <w:r>
              <w:rPr>
                <w:rFonts w:hint="eastAsia" w:ascii="宋体" w:cs="宋体"/>
                <w:kern w:val="0"/>
                <w:sz w:val="20"/>
                <w:szCs w:val="20"/>
              </w:rPr>
              <w:t>（50分）</w:t>
            </w:r>
            <w:r>
              <w:rPr>
                <w:rFonts w:hint="eastAsia" w:ascii="宋体" w:cs="宋体"/>
                <w:kern w:val="0"/>
                <w:sz w:val="20"/>
                <w:szCs w:val="20"/>
              </w:rPr>
              <w:br w:type="textWrapping"/>
            </w:r>
            <w:r>
              <w:rPr>
                <w:rFonts w:hint="eastAsia" w:ascii="宋体" w:cs="宋体"/>
                <w:kern w:val="0"/>
                <w:sz w:val="20"/>
                <w:szCs w:val="20"/>
              </w:rPr>
              <w:t>项目效益</w:t>
            </w: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经济效益（可选项）</w:t>
            </w:r>
          </w:p>
        </w:tc>
        <w:tc>
          <w:tcPr>
            <w:tcW w:w="12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40</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社会效益（可选项）</w:t>
            </w:r>
          </w:p>
        </w:tc>
        <w:tc>
          <w:tcPr>
            <w:tcW w:w="12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r>
              <w:rPr>
                <w:rFonts w:hint="eastAsia" w:ascii="宋体" w:cs="宋体"/>
                <w:kern w:val="0"/>
                <w:sz w:val="20"/>
                <w:szCs w:val="2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生态效益（可选项）</w:t>
            </w:r>
          </w:p>
        </w:tc>
        <w:tc>
          <w:tcPr>
            <w:tcW w:w="12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可持续效益（可选项）</w:t>
            </w:r>
          </w:p>
        </w:tc>
        <w:tc>
          <w:tcPr>
            <w:tcW w:w="12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公平效率（可选项）</w:t>
            </w:r>
          </w:p>
        </w:tc>
        <w:tc>
          <w:tcPr>
            <w:tcW w:w="12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使用效率（可选项）</w:t>
            </w:r>
          </w:p>
        </w:tc>
        <w:tc>
          <w:tcPr>
            <w:tcW w:w="12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 xml:space="preserve">服务对象满意度    </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10</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r>
              <w:rPr>
                <w:rFonts w:hint="eastAsia" w:ascii="宋体" w:cs="宋体"/>
                <w:kern w:val="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b/>
                <w:kern w:val="0"/>
                <w:sz w:val="20"/>
                <w:szCs w:val="20"/>
              </w:rPr>
            </w:pPr>
            <w:r>
              <w:rPr>
                <w:rFonts w:hint="eastAsia" w:ascii="宋体" w:cs="宋体"/>
                <w:b/>
                <w:kern w:val="0"/>
                <w:sz w:val="20"/>
                <w:szCs w:val="20"/>
              </w:rPr>
              <w:t>总分</w:t>
            </w:r>
          </w:p>
        </w:tc>
        <w:tc>
          <w:tcPr>
            <w:tcW w:w="717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b/>
                <w:kern w:val="0"/>
                <w:sz w:val="20"/>
                <w:szCs w:val="20"/>
              </w:rPr>
            </w:pPr>
            <w:r>
              <w:rPr>
                <w:rFonts w:hint="eastAsia" w:ascii="宋体" w:cs="宋体"/>
                <w:b/>
                <w:kern w:val="0"/>
                <w:sz w:val="20"/>
                <w:szCs w:val="20"/>
              </w:rPr>
              <w:t>96分</w:t>
            </w:r>
          </w:p>
        </w:tc>
      </w:tr>
    </w:tbl>
    <w:p>
      <w:pPr>
        <w:spacing w:line="580" w:lineRule="exact"/>
        <w:ind w:firstLine="642" w:firstLineChars="200"/>
        <w:rPr>
          <w:rFonts w:ascii="楷体" w:eastAsia="楷体" w:cs="仿宋_GB2312"/>
          <w:b/>
          <w:sz w:val="32"/>
          <w:szCs w:val="32"/>
        </w:rPr>
      </w:pPr>
      <w:r>
        <w:rPr>
          <w:rFonts w:ascii="楷体" w:eastAsia="楷体" w:cs="仿宋_GB2312"/>
          <w:b/>
          <w:sz w:val="32"/>
          <w:szCs w:val="32"/>
        </w:rPr>
        <w:t>（</w:t>
      </w:r>
      <w:r>
        <w:rPr>
          <w:rFonts w:hint="eastAsia" w:ascii="楷体" w:eastAsia="楷体" w:cs="仿宋_GB2312"/>
          <w:b/>
          <w:sz w:val="32"/>
          <w:szCs w:val="32"/>
        </w:rPr>
        <w:t>二</w:t>
      </w:r>
      <w:r>
        <w:rPr>
          <w:rFonts w:ascii="楷体" w:eastAsia="楷体" w:cs="仿宋_GB2312"/>
          <w:b/>
          <w:sz w:val="32"/>
          <w:szCs w:val="32"/>
        </w:rPr>
        <w:t>）存在的问题</w:t>
      </w:r>
    </w:p>
    <w:p>
      <w:pPr>
        <w:spacing w:line="640" w:lineRule="exact"/>
        <w:ind w:firstLine="640" w:firstLineChars="200"/>
        <w:rPr>
          <w:rFonts w:ascii="仿宋" w:eastAsia="仿宋"/>
          <w:sz w:val="32"/>
          <w:szCs w:val="32"/>
        </w:rPr>
      </w:pPr>
      <w:r>
        <w:rPr>
          <w:rFonts w:hint="eastAsia" w:ascii="仿宋" w:eastAsia="仿宋"/>
          <w:sz w:val="32"/>
          <w:szCs w:val="32"/>
        </w:rPr>
        <w:t>由于项目责任单位不易考评，项目开展进度的跟踪及监管有待进一步加强。</w:t>
      </w:r>
    </w:p>
    <w:p>
      <w:pPr>
        <w:adjustRightInd w:val="0"/>
        <w:snapToGrid w:val="0"/>
        <w:spacing w:line="600" w:lineRule="exact"/>
        <w:ind w:firstLine="720"/>
        <w:rPr>
          <w:rFonts w:ascii="楷体" w:eastAsia="楷体" w:cs="仿宋_GB2312"/>
          <w:b/>
          <w:sz w:val="32"/>
          <w:szCs w:val="32"/>
        </w:rPr>
      </w:pPr>
      <w:r>
        <w:rPr>
          <w:rFonts w:hint="eastAsia" w:ascii="楷体" w:eastAsia="楷体" w:cs="仿宋_GB2312"/>
          <w:b/>
          <w:sz w:val="32"/>
          <w:szCs w:val="32"/>
        </w:rPr>
        <w:t>（三）相关建议</w:t>
      </w:r>
    </w:p>
    <w:p>
      <w:pPr>
        <w:spacing w:line="580" w:lineRule="exact"/>
        <w:ind w:firstLine="640" w:firstLineChars="200"/>
        <w:rPr>
          <w:rFonts w:ascii="仿宋" w:eastAsia="仿宋" w:cs="仿宋_GB2312"/>
          <w:sz w:val="32"/>
          <w:szCs w:val="32"/>
        </w:rPr>
      </w:pPr>
      <w:r>
        <w:rPr>
          <w:rFonts w:hint="eastAsia" w:ascii="仿宋" w:eastAsia="仿宋"/>
          <w:sz w:val="32"/>
          <w:szCs w:val="32"/>
          <w:lang w:val="zh-CN"/>
        </w:rPr>
        <w:t>科学规范设置绩效评价指标，</w:t>
      </w:r>
      <w:r>
        <w:rPr>
          <w:rFonts w:hint="eastAsia" w:ascii="仿宋" w:eastAsia="仿宋" w:cs="仿宋_GB2312"/>
          <w:sz w:val="32"/>
          <w:szCs w:val="32"/>
        </w:rPr>
        <w:t>在资金执行过程中，与项目建设单位建立长效考评机制，以保证项目建设单位按进度完成分解的绩效目标。</w:t>
      </w:r>
    </w:p>
    <w:p>
      <w:pPr>
        <w:spacing w:line="580" w:lineRule="exact"/>
        <w:ind w:firstLine="640" w:firstLineChars="200"/>
        <w:rPr>
          <w:rFonts w:ascii="仿宋" w:eastAsia="仿宋" w:cs="仿宋_GB2312"/>
          <w:sz w:val="32"/>
          <w:szCs w:val="32"/>
        </w:rPr>
      </w:pPr>
    </w:p>
    <w:p>
      <w:pPr>
        <w:spacing w:line="580" w:lineRule="exact"/>
        <w:ind w:firstLine="640" w:firstLineChars="200"/>
        <w:rPr>
          <w:rFonts w:ascii="仿宋" w:eastAsia="仿宋" w:cs="仿宋_GB2312"/>
          <w:sz w:val="32"/>
          <w:szCs w:val="32"/>
        </w:rPr>
      </w:pPr>
    </w:p>
    <w:p>
      <w:pPr>
        <w:pStyle w:val="5"/>
        <w:spacing w:before="93" w:beforeLines="0"/>
      </w:pPr>
    </w:p>
    <w:p>
      <w:pPr>
        <w:pStyle w:val="5"/>
        <w:spacing w:before="93" w:beforeLines="0"/>
      </w:pPr>
    </w:p>
    <w:p>
      <w:pPr>
        <w:pStyle w:val="5"/>
        <w:spacing w:before="93" w:beforeLines="0"/>
      </w:pPr>
    </w:p>
    <w:p>
      <w:pPr>
        <w:pStyle w:val="5"/>
        <w:spacing w:before="93" w:beforeLines="0"/>
      </w:pPr>
    </w:p>
    <w:p>
      <w:pPr>
        <w:pStyle w:val="5"/>
        <w:spacing w:before="93" w:beforeLines="0"/>
      </w:pPr>
    </w:p>
    <w:p>
      <w:pPr>
        <w:spacing w:line="580" w:lineRule="exact"/>
        <w:jc w:val="center"/>
        <w:rPr>
          <w:rFonts w:ascii="黑体" w:eastAsia="黑体" w:cs="方正小标宋简体"/>
          <w:sz w:val="44"/>
          <w:szCs w:val="44"/>
        </w:rPr>
      </w:pPr>
      <w:r>
        <w:rPr>
          <w:rFonts w:hint="eastAsia" w:ascii="黑体" w:eastAsia="黑体" w:cs="方正小标宋简体"/>
          <w:sz w:val="44"/>
          <w:szCs w:val="44"/>
        </w:rPr>
        <w:t>2021年市级少数民族发展资金</w:t>
      </w:r>
    </w:p>
    <w:p>
      <w:pPr>
        <w:pStyle w:val="5"/>
        <w:spacing w:before="93" w:beforeLines="0"/>
        <w:jc w:val="center"/>
        <w:rPr>
          <w:rFonts w:ascii="黑体" w:eastAsia="黑体" w:cs="方正小标宋简体"/>
          <w:sz w:val="44"/>
          <w:szCs w:val="44"/>
        </w:rPr>
      </w:pPr>
      <w:r>
        <w:rPr>
          <w:rFonts w:hint="eastAsia" w:ascii="黑体" w:eastAsia="黑体" w:cs="方正小标宋简体"/>
          <w:sz w:val="44"/>
          <w:szCs w:val="44"/>
        </w:rPr>
        <w:t>项目支出绩效评价报告</w:t>
      </w:r>
    </w:p>
    <w:p>
      <w:pPr>
        <w:spacing w:line="580" w:lineRule="exact"/>
        <w:ind w:firstLine="640" w:firstLineChars="200"/>
        <w:rPr>
          <w:rFonts w:ascii="黑体" w:eastAsia="黑体" w:cs="仿宋_GB2312"/>
          <w:sz w:val="32"/>
          <w:szCs w:val="32"/>
        </w:rPr>
      </w:pPr>
    </w:p>
    <w:p>
      <w:pPr>
        <w:spacing w:line="580" w:lineRule="exact"/>
        <w:ind w:firstLine="640" w:firstLineChars="200"/>
        <w:rPr>
          <w:rFonts w:ascii="黑体" w:eastAsia="黑体" w:cs="仿宋_GB2312"/>
          <w:sz w:val="32"/>
          <w:szCs w:val="32"/>
        </w:rPr>
      </w:pPr>
      <w:r>
        <w:rPr>
          <w:rFonts w:hint="eastAsia" w:ascii="黑体" w:eastAsia="黑体" w:cs="仿宋_GB2312"/>
          <w:sz w:val="32"/>
          <w:szCs w:val="32"/>
        </w:rPr>
        <w:t>一</w:t>
      </w:r>
      <w:r>
        <w:rPr>
          <w:rFonts w:ascii="黑体" w:eastAsia="黑体" w:cs="仿宋_GB2312"/>
          <w:sz w:val="32"/>
          <w:szCs w:val="32"/>
        </w:rPr>
        <w:t>、</w:t>
      </w:r>
      <w:r>
        <w:rPr>
          <w:rFonts w:hint="eastAsia" w:ascii="黑体" w:eastAsia="黑体" w:cs="仿宋_GB2312"/>
          <w:sz w:val="32"/>
          <w:szCs w:val="32"/>
        </w:rPr>
        <w:t>项目</w:t>
      </w:r>
      <w:r>
        <w:rPr>
          <w:rFonts w:ascii="黑体" w:eastAsia="黑体" w:cs="仿宋_GB2312"/>
          <w:sz w:val="32"/>
          <w:szCs w:val="32"/>
        </w:rPr>
        <w:t>概况</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（一）</w:t>
      </w:r>
      <w:r>
        <w:rPr>
          <w:rFonts w:hint="eastAsia" w:ascii="楷体" w:eastAsia="楷体" w:cs="仿宋_GB2312"/>
          <w:b/>
          <w:sz w:val="32"/>
          <w:szCs w:val="32"/>
        </w:rPr>
        <w:t>项目</w:t>
      </w:r>
      <w:r>
        <w:rPr>
          <w:rFonts w:ascii="楷体" w:eastAsia="楷体" w:cs="仿宋_GB2312"/>
          <w:b/>
          <w:sz w:val="32"/>
          <w:szCs w:val="32"/>
        </w:rPr>
        <w:t>基本情况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1.项目主管部门（单位）在该项目管理中的职能</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维护民族宗教领域和谐稳定、提升民族宗教干部业务能力、少数民族群众自我发展能力，推进攀枝花市民族团结进步事业。</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2.项目立项、资金申报的依据</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根据（攀财资农〔2021〕42号），结合市委、市政府对民族工作的总体要求和2021年民族工作重点，为维护我市民族宗教领域和谐稳定、提升民族宗教干部业务能力、少数民族群众自我发展能力，推进攀枝花市民族团结进步事业。</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3.资金管理办法制定情况，资金支持具体项目的条件、范围与支持方式概况。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按照年度工作要点、工作计划，有序推进我委少数民族发展工作，具体分为五项：一是困难群众应急补助及慰问；民族宗教风险防范及矛盾调处，城市社区民族工作试点经费。二是少数民族重大节日补助经费。三是民族地区实用技术、劳动技能培训；民族宗教工作培训和民宗干部学校运行经费。四是两资项目管理、培训相关经费。五是民族团结进步创建经费。实时对经费使用情况进行监督管理，确保工作经费落到实处，取得实效。</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4.资金分配的原则及考虑因素。</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按照（攀财资农〔2021〕42号），结合市委、市政府对民族工作的总体要求和2021年民族工作重点，维护民族宗教领域和谐稳定、提升民族宗教干部业务能力、少数民族群众自我发展能力，推进攀枝花市民族团结进步事业。</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（二）</w:t>
      </w:r>
      <w:r>
        <w:rPr>
          <w:rFonts w:hint="eastAsia" w:ascii="楷体" w:eastAsia="楷体" w:cs="仿宋_GB2312"/>
          <w:b/>
          <w:sz w:val="32"/>
          <w:szCs w:val="32"/>
        </w:rPr>
        <w:t>项目绩效目标</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1.项目主要内容。</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根据（攀财资农〔2021〕42号），结合市委、市政府对民族工作的总体要求和2021年民族工作重点，主要分为：一是民族地区、城市社区特殊困难群众应急补助、慰问费，民族宗教领域风险防范及矛盾调处，城市社区民族工作创新试点等经费；二是民族地区实用技术、劳动技能培训，民族宗教工作培训和民族宗教干部学校运行经费；三是两资项目管理、培训费；四是民族团结进步创建经费；五是市民族宗教委电子政务内网机房建设项目经费。</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2.项目应实现的具体绩效目标</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一是开展民族地区、城市社区特殊困难群众应急补助及春节慰问40余人次；开展民族宗教领域风险防范排查及民族工作“十四五”规划编制，民族宗教领域矛盾纠纷调处，民族地区禁毒防艾；市级城市社区民族工作创新试点，城市少数民族流动人口服务管理、民族宗教工作宣传等经费20万元。二是开展民族地区重要产业和特色产业科技实用技术培训；组建科技成果转化专家创新团队示范基地；开展民宗系统干部和乡（镇）、村（社区）民族宗教工作干部培训80人次；民宗干部学校运行保障经费，临聘人员劳务费、保险费等43.5万元。三是资金用于两资项目公示、两资宣传、两资管理业务工作会议、项目绩效考评、项目指导调研、档案数字化、项目管理培训等5万元。四是举办一期全市民族团结进步创建工作培训班50人左右；开展民族团结进步创建工作和命名第四批全市民族团结进步示范单位等相关工作经费12万元。五是按照市电子政务内网建设相关要求和标准，实施电子政务内网机房建设、配备安装机房设备设施16.5万元。以加快我市民族地区经济社会发展，提升民族宗教干部业务能力、少数民族群众自我发展能力，推进攀枝花市民族团结进步事业。</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3.分析评价申报内容是否与实际相符，申报目标是否合理可行。</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项目分析评价均来源项目实际情况，与实际相符，目标合理可行。</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w:t>
      </w:r>
      <w:r>
        <w:rPr>
          <w:rFonts w:hint="eastAsia" w:ascii="楷体" w:eastAsia="楷体" w:cs="仿宋_GB2312"/>
          <w:b/>
          <w:sz w:val="32"/>
          <w:szCs w:val="32"/>
        </w:rPr>
        <w:t>三</w:t>
      </w:r>
      <w:r>
        <w:rPr>
          <w:rFonts w:ascii="楷体" w:eastAsia="楷体" w:cs="仿宋_GB2312"/>
          <w:b/>
          <w:sz w:val="32"/>
          <w:szCs w:val="32"/>
        </w:rPr>
        <w:t>）</w:t>
      </w:r>
      <w:r>
        <w:rPr>
          <w:rFonts w:hint="eastAsia" w:ascii="楷体" w:eastAsia="楷体" w:cs="仿宋_GB2312"/>
          <w:b/>
          <w:sz w:val="32"/>
          <w:szCs w:val="32"/>
        </w:rPr>
        <w:t>项目自评步骤及方法</w:t>
      </w:r>
    </w:p>
    <w:p>
      <w:pPr>
        <w:spacing w:line="580" w:lineRule="exact"/>
        <w:ind w:firstLine="640" w:firstLineChars="200"/>
        <w:rPr>
          <w:rFonts w:ascii="仿宋" w:eastAsia="仿宋" w:cs="仿宋_GB2312"/>
          <w:sz w:val="32"/>
          <w:szCs w:val="32"/>
        </w:rPr>
      </w:pPr>
      <w:r>
        <w:rPr>
          <w:rFonts w:ascii="仿宋" w:eastAsia="仿宋" w:cs="仿宋_GB2312"/>
          <w:sz w:val="32"/>
          <w:szCs w:val="32"/>
        </w:rPr>
        <w:t>项目通过年初</w:t>
      </w:r>
      <w:r>
        <w:rPr>
          <w:rFonts w:hint="eastAsia" w:ascii="仿宋" w:eastAsia="仿宋" w:cs="仿宋_GB2312"/>
          <w:sz w:val="32"/>
          <w:szCs w:val="32"/>
        </w:rPr>
        <w:t>预算事前绩效评估，对项目编制了绩效目标，预算执行过程中，年中对该项目开展了事中绩效监控，年终执行完毕后，对该项目开展了绩效目标完成情况梳理，填写项目支出绩效评价得分表，并进行了绩效分析，找出存在问题并进行整改。</w:t>
      </w:r>
    </w:p>
    <w:p>
      <w:pPr>
        <w:adjustRightInd w:val="0"/>
        <w:snapToGrid w:val="0"/>
        <w:spacing w:line="600" w:lineRule="exact"/>
        <w:ind w:firstLine="720"/>
        <w:rPr>
          <w:rFonts w:ascii="黑体" w:eastAsia="黑体" w:cs="仿宋_GB2312"/>
          <w:sz w:val="32"/>
          <w:szCs w:val="32"/>
        </w:rPr>
      </w:pPr>
      <w:r>
        <w:rPr>
          <w:rFonts w:hint="eastAsia" w:ascii="黑体" w:eastAsia="黑体" w:cs="仿宋_GB2312"/>
          <w:sz w:val="32"/>
          <w:szCs w:val="32"/>
        </w:rPr>
        <w:t>二、项目资金申报及使用情况</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（一）</w:t>
      </w:r>
      <w:r>
        <w:rPr>
          <w:rFonts w:hint="eastAsia" w:ascii="楷体" w:eastAsia="楷体" w:cs="仿宋_GB2312"/>
          <w:b/>
          <w:sz w:val="32"/>
          <w:szCs w:val="32"/>
        </w:rPr>
        <w:t>项目资金申报及批复情况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2021年初预算未申请该笔资金预算，年初预算未批复该笔资金，年中根据市财政、市两资办审核通过下发的（攀财资农〔2021〕42号）追加预算103万元，后通过调减指标划拨至其他单位6万元。</w:t>
      </w:r>
    </w:p>
    <w:p>
      <w:pPr>
        <w:spacing w:line="580" w:lineRule="exact"/>
        <w:ind w:firstLine="642" w:firstLineChars="200"/>
        <w:rPr>
          <w:rFonts w:ascii="楷体" w:eastAsia="楷体" w:cs="仿宋_GB2312"/>
          <w:b/>
          <w:sz w:val="32"/>
          <w:szCs w:val="32"/>
        </w:rPr>
      </w:pPr>
      <w:r>
        <w:rPr>
          <w:rFonts w:hint="eastAsia" w:ascii="楷体" w:eastAsia="楷体" w:cs="仿宋_GB2312"/>
          <w:b/>
          <w:sz w:val="32"/>
          <w:szCs w:val="32"/>
        </w:rPr>
        <w:t>（二）资金计划、到位及使用情况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1.资金计划。2021年初未申请该笔资金预算，年中计划市级财政资金追加预算到位103万元，后调减指标划拨至其他单位6万元，年底调减指标1</w:t>
      </w:r>
      <w:r>
        <w:rPr>
          <w:rFonts w:ascii="仿宋" w:eastAsia="仿宋" w:cs="仿宋_GB2312"/>
          <w:sz w:val="32"/>
          <w:szCs w:val="32"/>
        </w:rPr>
        <w:t>3.272</w:t>
      </w:r>
      <w:r>
        <w:rPr>
          <w:rFonts w:hint="eastAsia" w:ascii="仿宋" w:eastAsia="仿宋" w:cs="仿宋_GB2312"/>
          <w:sz w:val="32"/>
          <w:szCs w:val="32"/>
        </w:rPr>
        <w:t>万元。</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2.资金到位。2021年年中追加预算市本级资金97万元（其他农林水支出2139999），年底追减指标1</w:t>
      </w:r>
      <w:r>
        <w:rPr>
          <w:rFonts w:ascii="仿宋" w:eastAsia="仿宋" w:cs="仿宋_GB2312"/>
          <w:sz w:val="32"/>
          <w:szCs w:val="32"/>
        </w:rPr>
        <w:t>3.272</w:t>
      </w:r>
      <w:r>
        <w:rPr>
          <w:rFonts w:hint="eastAsia" w:ascii="仿宋" w:eastAsia="仿宋" w:cs="仿宋_GB2312"/>
          <w:sz w:val="32"/>
          <w:szCs w:val="32"/>
        </w:rPr>
        <w:t>万元，资金到位共计8</w:t>
      </w:r>
      <w:r>
        <w:rPr>
          <w:rFonts w:ascii="仿宋" w:eastAsia="仿宋" w:cs="仿宋_GB2312"/>
          <w:sz w:val="32"/>
          <w:szCs w:val="32"/>
        </w:rPr>
        <w:t>3.728</w:t>
      </w:r>
      <w:r>
        <w:rPr>
          <w:rFonts w:hint="eastAsia" w:ascii="仿宋" w:eastAsia="仿宋" w:cs="仿宋_GB2312"/>
          <w:sz w:val="32"/>
          <w:szCs w:val="32"/>
        </w:rPr>
        <w:t>万元，资金到位率100%。</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3.资金使用。一是民族地区、城市社区特殊困难群众应急补助、慰问费；民族宗教领域风险防范及矛盾调处；城市社区民族工作创新试点等经费8.728万元。主要用于慰问谜塘村困难户24户，开展民族地区禁毒防艾、森林防火宣传，开展城市社区民族工作试点等经费支出。</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二是民族地区实用技术、劳动技能培训；民族宗教工作培训和民族宗教干部学校运行经费43.5万元。主要用于开展民族地区实用技术培训和乡村振兴驻村第一书记培训、民族宗教干部培训2000人次；建立科技成果转换专家创新团队示范基地2个；民宗干部学校运行保障等经费支出。</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三是两资项目管理、培训相关经费3.36万元。主要用于完成项目公示、宣传、会议、绩效考评、调研、培训等6余次，进行两资档案数字化等项目经费开支。</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四是民族团结进步创建经费11.64万元。主要用于铸牢中华民族共同体意识培训55人；开展全市民族团结进步示范单位评审工作等。</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五是市民族宗教委电子政务内网机房建设项目16.5万元。主要用于电子政务内网建设，包括电子政务内网机房建设、配备安装机房设备设施。</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分项数据与预算计划一致，主要是结合工作具体情况安排，然由于年底财政紧张，部分项目未能及时拨付，部分指标由财政年底收回。全年预算执行率为86%。</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（三）</w:t>
      </w:r>
      <w:r>
        <w:rPr>
          <w:rFonts w:hint="eastAsia" w:ascii="楷体" w:eastAsia="楷体" w:cs="仿宋_GB2312"/>
          <w:b/>
          <w:sz w:val="32"/>
          <w:szCs w:val="32"/>
        </w:rPr>
        <w:t>项目财务管理情况。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单位财务管理制度健全，严格执行财务管理制度，账务处理及时，会计核算规范。</w:t>
      </w:r>
    </w:p>
    <w:p>
      <w:pPr>
        <w:adjustRightInd w:val="0"/>
        <w:snapToGrid w:val="0"/>
        <w:spacing w:line="600" w:lineRule="exact"/>
        <w:ind w:firstLine="720"/>
        <w:rPr>
          <w:rFonts w:ascii="黑体" w:eastAsia="黑体" w:cs="仿宋_GB2312"/>
          <w:sz w:val="32"/>
          <w:szCs w:val="32"/>
        </w:rPr>
      </w:pPr>
      <w:r>
        <w:rPr>
          <w:rFonts w:hint="eastAsia" w:ascii="黑体" w:eastAsia="黑体" w:cs="仿宋_GB2312"/>
          <w:sz w:val="32"/>
          <w:szCs w:val="32"/>
        </w:rPr>
        <w:t>三、项目实施及管理情况</w:t>
      </w:r>
    </w:p>
    <w:p>
      <w:pPr>
        <w:adjustRightInd w:val="0"/>
        <w:snapToGrid w:val="0"/>
        <w:spacing w:line="600" w:lineRule="exact"/>
        <w:ind w:firstLine="720"/>
        <w:rPr>
          <w:rFonts w:ascii="楷体_GB2312" w:eastAsia="楷体_GB2312"/>
          <w:b/>
          <w:sz w:val="32"/>
          <w:szCs w:val="32"/>
          <w:lang w:val="zh-CN"/>
        </w:rPr>
      </w:pPr>
      <w:r>
        <w:rPr>
          <w:rFonts w:hint="eastAsia" w:ascii="楷体" w:eastAsia="楷体" w:cs="仿宋_GB2312"/>
          <w:b/>
          <w:sz w:val="32"/>
          <w:szCs w:val="32"/>
        </w:rPr>
        <w:t>（一）项目组织架构及实施流程。</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按照年度工作要点、工作计划，结合市委、市政府对民族工作的总体要求和2021年民族工作重点，拟定2</w:t>
      </w:r>
      <w:r>
        <w:rPr>
          <w:rFonts w:ascii="仿宋" w:eastAsia="仿宋" w:cs="仿宋_GB2312"/>
          <w:sz w:val="32"/>
          <w:szCs w:val="32"/>
        </w:rPr>
        <w:t>021</w:t>
      </w:r>
      <w:r>
        <w:rPr>
          <w:rFonts w:hint="eastAsia" w:ascii="仿宋" w:eastAsia="仿宋" w:cs="仿宋_GB2312"/>
          <w:sz w:val="32"/>
          <w:szCs w:val="32"/>
        </w:rPr>
        <w:t>市级少数民族发展金有关申报项目，并报委党组会、市两资领导小组审议，审议通过后按照攀枝花市2</w:t>
      </w:r>
      <w:r>
        <w:rPr>
          <w:rFonts w:ascii="仿宋" w:eastAsia="仿宋" w:cs="仿宋_GB2312"/>
          <w:sz w:val="32"/>
          <w:szCs w:val="32"/>
        </w:rPr>
        <w:t>021</w:t>
      </w:r>
      <w:r>
        <w:rPr>
          <w:rFonts w:hint="eastAsia" w:ascii="仿宋" w:eastAsia="仿宋" w:cs="仿宋_GB2312"/>
          <w:sz w:val="32"/>
          <w:szCs w:val="32"/>
        </w:rPr>
        <w:t>市级少数民族发展金经费使用范围的要求。确定资金拨付分配方案。</w:t>
      </w:r>
    </w:p>
    <w:p>
      <w:pPr>
        <w:spacing w:line="580" w:lineRule="exact"/>
        <w:ind w:firstLine="642" w:firstLineChars="200"/>
        <w:rPr>
          <w:rFonts w:ascii="楷体" w:eastAsia="楷体" w:cs="仿宋_GB2312"/>
          <w:b/>
          <w:sz w:val="32"/>
          <w:szCs w:val="32"/>
        </w:rPr>
      </w:pPr>
      <w:r>
        <w:rPr>
          <w:rFonts w:hint="eastAsia" w:ascii="楷体" w:eastAsia="楷体" w:cs="仿宋_GB2312"/>
          <w:b/>
          <w:sz w:val="32"/>
          <w:szCs w:val="32"/>
        </w:rPr>
        <w:t>（二）项目管理情况。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有序推进我委少数民族发展工作，推进攀枝花市民族团结进步事业，并严格按照两资管理小组批复的2</w:t>
      </w:r>
      <w:r>
        <w:rPr>
          <w:rFonts w:ascii="仿宋" w:eastAsia="仿宋" w:cs="仿宋_GB2312"/>
          <w:sz w:val="32"/>
          <w:szCs w:val="32"/>
        </w:rPr>
        <w:t>021</w:t>
      </w:r>
      <w:r>
        <w:rPr>
          <w:rFonts w:hint="eastAsia" w:ascii="仿宋" w:eastAsia="仿宋" w:cs="仿宋_GB2312"/>
          <w:sz w:val="32"/>
          <w:szCs w:val="32"/>
        </w:rPr>
        <w:t>市级少数民族发展金使用范围和绩效目标，严格按相关要求使用资金。</w:t>
      </w:r>
    </w:p>
    <w:p>
      <w:pPr>
        <w:spacing w:line="580" w:lineRule="exact"/>
        <w:ind w:firstLine="642" w:firstLineChars="200"/>
        <w:rPr>
          <w:rFonts w:ascii="楷体" w:eastAsia="楷体" w:cs="仿宋_GB2312"/>
          <w:b/>
          <w:sz w:val="32"/>
          <w:szCs w:val="32"/>
        </w:rPr>
      </w:pPr>
      <w:r>
        <w:rPr>
          <w:rFonts w:hint="eastAsia" w:ascii="楷体" w:eastAsia="楷体" w:cs="仿宋_GB2312"/>
          <w:b/>
          <w:sz w:val="32"/>
          <w:szCs w:val="32"/>
        </w:rPr>
        <w:t>（三）项目监管情况。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对经费使用情况进行了定时不定时的监督管理，确保工作经费落到实处，取得实效。</w:t>
      </w:r>
    </w:p>
    <w:p>
      <w:pPr>
        <w:adjustRightInd w:val="0"/>
        <w:snapToGrid w:val="0"/>
        <w:spacing w:line="600" w:lineRule="exact"/>
        <w:ind w:firstLine="640" w:firstLineChars="200"/>
        <w:rPr>
          <w:rFonts w:ascii="仿宋_GB2312" w:eastAsia="仿宋_GB2312"/>
          <w:sz w:val="32"/>
          <w:szCs w:val="32"/>
          <w:lang w:val="zh-CN"/>
        </w:rPr>
      </w:pPr>
      <w:r>
        <w:rPr>
          <w:rFonts w:hint="eastAsia" w:ascii="黑体" w:eastAsia="黑体"/>
          <w:sz w:val="32"/>
          <w:szCs w:val="32"/>
        </w:rPr>
        <w:t>四、项目绩效情况</w:t>
      </w:r>
      <w:r>
        <w:rPr>
          <w:rFonts w:ascii="仿宋_GB2312" w:eastAsia="仿宋_GB2312"/>
          <w:sz w:val="32"/>
          <w:szCs w:val="32"/>
          <w:lang w:val="zh-CN"/>
        </w:rPr>
        <w:tab/>
      </w:r>
    </w:p>
    <w:p>
      <w:pPr>
        <w:adjustRightInd w:val="0"/>
        <w:snapToGrid w:val="0"/>
        <w:spacing w:line="600" w:lineRule="exact"/>
        <w:ind w:left="640"/>
        <w:rPr>
          <w:rFonts w:ascii="仿宋_GB2312" w:eastAsia="仿宋_GB2312"/>
          <w:sz w:val="32"/>
          <w:szCs w:val="32"/>
          <w:lang w:val="zh-CN"/>
        </w:rPr>
      </w:pPr>
      <w:r>
        <w:rPr>
          <w:rFonts w:hint="eastAsia" w:ascii="楷体" w:eastAsia="楷体" w:cs="仿宋_GB2312"/>
          <w:b/>
          <w:sz w:val="32"/>
          <w:szCs w:val="32"/>
        </w:rPr>
        <w:t>（一）项目完成情况</w:t>
      </w:r>
    </w:p>
    <w:p>
      <w:pPr>
        <w:adjustRightInd w:val="0"/>
        <w:snapToGrid w:val="0"/>
        <w:spacing w:line="600" w:lineRule="exact"/>
        <w:ind w:firstLine="720"/>
        <w:rPr>
          <w:rFonts w:ascii="仿宋" w:eastAsia="仿宋" w:cs="仿宋_GB2312"/>
          <w:sz w:val="32"/>
          <w:szCs w:val="32"/>
        </w:rPr>
      </w:pPr>
      <w:r>
        <w:rPr>
          <w:rFonts w:hint="eastAsia" w:ascii="仿宋" w:eastAsia="仿宋" w:cs="仿宋_GB2312"/>
          <w:sz w:val="32"/>
          <w:szCs w:val="32"/>
        </w:rPr>
        <w:t>慰问谜塘村困难户24户，开展民族地区禁毒防艾、森林防火宣传，开展城市社区民族工作试点等经费支出8.728万元；开展民族地区实用技术培训和乡村振兴驻村第一书记培训、民族宗教干部培训2000人次，建立科技成果转换专家创新团队示范基地2个，民宗干部学校运行保障等经费支出43.5万元；完成项目公示、宣传、会议、绩效考评、调研、培训等6余次，进行两资档案数字化等项目经费开支3.36万元；铸牢中华民族共同体意识培训55人，开展全市民族团结进步示范单位评审工作等11.64万元；电子政务内网建设，包括电子政务内网机房建设、配备安装机房设备设施16.5万元。按照年度工作要点、工作计划，结合市委、市政府对民族工作的总体要求和2021年民族工作重点，基本完成了2021年市级少数民族发展金年初的绩效目标，只有部分项目然由于年底财政紧张，未能及时拨付。</w:t>
      </w:r>
    </w:p>
    <w:p>
      <w:pPr>
        <w:adjustRightInd w:val="0"/>
        <w:snapToGrid w:val="0"/>
        <w:spacing w:line="600" w:lineRule="exact"/>
        <w:ind w:firstLine="720"/>
        <w:rPr>
          <w:rFonts w:ascii="楷体" w:eastAsia="楷体" w:cs="仿宋_GB2312"/>
          <w:b/>
          <w:sz w:val="32"/>
          <w:szCs w:val="32"/>
        </w:rPr>
      </w:pPr>
      <w:r>
        <w:rPr>
          <w:rFonts w:hint="eastAsia" w:ascii="楷体" w:eastAsia="楷体" w:cs="仿宋_GB2312"/>
          <w:b/>
          <w:sz w:val="32"/>
          <w:szCs w:val="32"/>
        </w:rPr>
        <w:t>（二）项目效益情况</w:t>
      </w:r>
    </w:p>
    <w:p>
      <w:pPr>
        <w:adjustRightInd w:val="0"/>
        <w:snapToGrid w:val="0"/>
        <w:spacing w:line="600" w:lineRule="exact"/>
        <w:ind w:firstLine="720"/>
        <w:rPr>
          <w:rFonts w:ascii="仿宋" w:eastAsia="仿宋"/>
          <w:sz w:val="32"/>
          <w:szCs w:val="32"/>
        </w:rPr>
      </w:pPr>
      <w:r>
        <w:rPr>
          <w:rFonts w:hint="eastAsia" w:ascii="仿宋" w:eastAsia="仿宋"/>
          <w:sz w:val="32"/>
          <w:szCs w:val="32"/>
        </w:rPr>
        <w:t>进一步维护了我市民族宗教领域和谐稳定、提升民族宗教干部业务能力、少数民族群众自我发展能力，推进攀枝花市民族团结进步事业。</w:t>
      </w:r>
    </w:p>
    <w:p>
      <w:pPr>
        <w:adjustRightInd w:val="0"/>
        <w:snapToGrid w:val="0"/>
        <w:spacing w:line="600" w:lineRule="exact"/>
        <w:ind w:firstLine="720"/>
        <w:rPr>
          <w:rFonts w:ascii="黑体" w:eastAsia="黑体"/>
          <w:sz w:val="32"/>
          <w:szCs w:val="32"/>
        </w:rPr>
      </w:pPr>
      <w:r>
        <w:rPr>
          <w:rFonts w:hint="eastAsia" w:ascii="黑体" w:eastAsia="黑体"/>
          <w:sz w:val="32"/>
          <w:szCs w:val="32"/>
        </w:rPr>
        <w:t>五、评价结论及建议</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（一）评价结论</w:t>
      </w:r>
    </w:p>
    <w:p>
      <w:pPr>
        <w:pStyle w:val="5"/>
        <w:spacing w:before="93" w:beforeLines="0"/>
        <w:ind w:firstLine="640" w:firstLineChars="200"/>
        <w:jc w:val="left"/>
        <w:rPr>
          <w:rFonts w:ascii="仿宋" w:eastAsia="仿宋"/>
          <w:kern w:val="2"/>
          <w:sz w:val="32"/>
          <w:szCs w:val="32"/>
        </w:rPr>
      </w:pPr>
      <w:r>
        <w:rPr>
          <w:rFonts w:hint="eastAsia" w:ascii="仿宋" w:eastAsia="仿宋"/>
          <w:kern w:val="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w:t>
      </w:r>
      <w:r>
        <w:rPr>
          <w:rFonts w:hint="eastAsia" w:ascii="楷体" w:eastAsia="楷体" w:cs="仿宋_GB2312"/>
          <w:b/>
          <w:sz w:val="32"/>
          <w:szCs w:val="32"/>
        </w:rPr>
        <w:t>二</w:t>
      </w:r>
      <w:r>
        <w:rPr>
          <w:rFonts w:ascii="楷体" w:eastAsia="楷体" w:cs="仿宋_GB2312"/>
          <w:b/>
          <w:sz w:val="32"/>
          <w:szCs w:val="32"/>
        </w:rPr>
        <w:t>）存在的问题</w:t>
      </w:r>
    </w:p>
    <w:p>
      <w:pPr>
        <w:adjustRightInd w:val="0"/>
        <w:snapToGrid w:val="0"/>
        <w:spacing w:line="600" w:lineRule="exact"/>
        <w:ind w:firstLine="720"/>
        <w:rPr>
          <w:rFonts w:ascii="仿宋" w:eastAsia="仿宋" w:cs="仿宋_GB2312"/>
          <w:sz w:val="32"/>
          <w:szCs w:val="32"/>
        </w:rPr>
      </w:pPr>
      <w:r>
        <w:rPr>
          <w:rFonts w:hint="eastAsia" w:ascii="仿宋" w:eastAsia="仿宋" w:cs="仿宋_GB2312"/>
          <w:sz w:val="32"/>
          <w:szCs w:val="32"/>
        </w:rPr>
        <w:t>受</w:t>
      </w:r>
      <w:r>
        <w:rPr>
          <w:rFonts w:ascii="仿宋" w:eastAsia="仿宋" w:cs="仿宋_GB2312"/>
          <w:sz w:val="32"/>
          <w:szCs w:val="32"/>
        </w:rPr>
        <w:t>疫情防控等客观原因影响</w:t>
      </w:r>
      <w:r>
        <w:rPr>
          <w:rFonts w:hint="eastAsia" w:ascii="仿宋" w:eastAsia="仿宋" w:cs="仿宋_GB2312"/>
          <w:sz w:val="32"/>
          <w:szCs w:val="32"/>
        </w:rPr>
        <w:t>，</w:t>
      </w:r>
      <w:r>
        <w:rPr>
          <w:rFonts w:ascii="仿宋" w:eastAsia="仿宋" w:cs="仿宋_GB2312"/>
          <w:sz w:val="32"/>
          <w:szCs w:val="32"/>
        </w:rPr>
        <w:t>部分资金使用</w:t>
      </w:r>
      <w:r>
        <w:rPr>
          <w:rFonts w:hint="eastAsia" w:ascii="仿宋" w:eastAsia="仿宋" w:cs="仿宋_GB2312"/>
          <w:sz w:val="32"/>
          <w:szCs w:val="32"/>
        </w:rPr>
        <w:t>滞后，今后</w:t>
      </w:r>
      <w:r>
        <w:rPr>
          <w:rFonts w:ascii="仿宋" w:eastAsia="仿宋" w:cs="仿宋_GB2312"/>
          <w:sz w:val="32"/>
          <w:szCs w:val="32"/>
        </w:rPr>
        <w:t>需进一步提高防风险能力</w:t>
      </w:r>
      <w:r>
        <w:rPr>
          <w:rFonts w:hint="eastAsia" w:ascii="仿宋" w:eastAsia="仿宋" w:cs="仿宋_GB2312"/>
          <w:sz w:val="32"/>
          <w:szCs w:val="32"/>
        </w:rPr>
        <w:t>及风险研判能力。</w:t>
      </w:r>
    </w:p>
    <w:p>
      <w:pPr>
        <w:adjustRightInd w:val="0"/>
        <w:snapToGrid w:val="0"/>
        <w:spacing w:line="600" w:lineRule="exact"/>
        <w:ind w:firstLine="642" w:firstLineChars="200"/>
        <w:rPr>
          <w:rFonts w:ascii="楷体" w:eastAsia="楷体" w:cs="仿宋_GB2312"/>
          <w:b/>
          <w:sz w:val="32"/>
          <w:szCs w:val="32"/>
        </w:rPr>
      </w:pPr>
      <w:r>
        <w:rPr>
          <w:rFonts w:hint="eastAsia" w:ascii="楷体" w:eastAsia="楷体" w:cs="仿宋_GB2312"/>
          <w:b/>
          <w:sz w:val="32"/>
          <w:szCs w:val="32"/>
        </w:rPr>
        <w:t>（三）相关建议</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在资金执行过程中</w:t>
      </w:r>
      <w:r>
        <w:rPr>
          <w:rFonts w:hint="eastAsia" w:ascii="仿宋" w:eastAsia="仿宋" w:cs="仿宋"/>
          <w:sz w:val="32"/>
          <w:szCs w:val="32"/>
        </w:rPr>
        <w:t>，加强与市财政的沟通协调，建议加快专项经费审批流程，避免年底出现扎推支付现象，争取项目资金能及时拨付到位，</w:t>
      </w:r>
      <w:r>
        <w:rPr>
          <w:rFonts w:hint="eastAsia" w:ascii="仿宋" w:eastAsia="仿宋" w:cs="仿宋_GB2312"/>
          <w:sz w:val="32"/>
          <w:szCs w:val="32"/>
        </w:rPr>
        <w:t>以保证项目建设单位按进度完成分解的绩效目标。</w:t>
      </w:r>
    </w:p>
    <w:p>
      <w:pPr>
        <w:pStyle w:val="5"/>
        <w:spacing w:before="93" w:beforeLines="0"/>
        <w:ind w:firstLine="600" w:firstLineChars="200"/>
        <w:jc w:val="left"/>
      </w:pPr>
    </w:p>
    <w:p>
      <w:pPr>
        <w:tabs>
          <w:tab w:val="left" w:pos="312"/>
        </w:tabs>
        <w:spacing w:line="580" w:lineRule="exact"/>
        <w:ind w:firstLine="640" w:firstLineChars="200"/>
        <w:rPr>
          <w:rFonts w:ascii="仿宋" w:eastAsia="仿宋" w:cs="仿宋_GB2312"/>
          <w:sz w:val="32"/>
          <w:szCs w:val="32"/>
        </w:rPr>
      </w:pPr>
    </w:p>
    <w:p>
      <w:pPr>
        <w:tabs>
          <w:tab w:val="left" w:pos="312"/>
        </w:tabs>
        <w:spacing w:line="580" w:lineRule="exact"/>
        <w:ind w:firstLine="640" w:firstLineChars="200"/>
        <w:rPr>
          <w:rFonts w:ascii="仿宋" w:eastAsia="仿宋" w:cs="仿宋_GB2312"/>
          <w:sz w:val="32"/>
          <w:szCs w:val="32"/>
        </w:rPr>
      </w:pPr>
    </w:p>
    <w:p>
      <w:pPr>
        <w:tabs>
          <w:tab w:val="left" w:pos="312"/>
        </w:tabs>
        <w:spacing w:line="580" w:lineRule="exact"/>
        <w:ind w:firstLine="640" w:firstLineChars="200"/>
        <w:rPr>
          <w:rFonts w:ascii="仿宋" w:eastAsia="仿宋" w:cs="仿宋_GB2312"/>
          <w:sz w:val="32"/>
          <w:szCs w:val="32"/>
        </w:rPr>
      </w:pPr>
    </w:p>
    <w:p>
      <w:pPr>
        <w:tabs>
          <w:tab w:val="left" w:pos="312"/>
        </w:tabs>
        <w:spacing w:line="580" w:lineRule="exact"/>
        <w:ind w:firstLine="640" w:firstLineChars="200"/>
        <w:rPr>
          <w:rFonts w:ascii="仿宋" w:eastAsia="仿宋" w:cs="仿宋_GB2312"/>
          <w:sz w:val="32"/>
          <w:szCs w:val="32"/>
        </w:rPr>
      </w:pPr>
    </w:p>
    <w:p>
      <w:pPr>
        <w:tabs>
          <w:tab w:val="left" w:pos="312"/>
        </w:tabs>
        <w:spacing w:line="580" w:lineRule="exact"/>
        <w:ind w:firstLine="640" w:firstLineChars="200"/>
        <w:rPr>
          <w:rFonts w:ascii="仿宋" w:eastAsia="仿宋" w:cs="仿宋_GB2312"/>
          <w:sz w:val="32"/>
          <w:szCs w:val="32"/>
        </w:rPr>
      </w:pPr>
    </w:p>
    <w:p>
      <w:pPr>
        <w:tabs>
          <w:tab w:val="left" w:pos="312"/>
        </w:tabs>
        <w:spacing w:line="580" w:lineRule="exact"/>
        <w:ind w:firstLine="640" w:firstLineChars="200"/>
        <w:rPr>
          <w:rFonts w:ascii="仿宋" w:eastAsia="仿宋" w:cs="仿宋_GB2312"/>
          <w:sz w:val="32"/>
          <w:szCs w:val="32"/>
        </w:rPr>
      </w:pPr>
    </w:p>
    <w:p>
      <w:pPr>
        <w:tabs>
          <w:tab w:val="left" w:pos="312"/>
        </w:tabs>
        <w:spacing w:line="580" w:lineRule="exact"/>
        <w:ind w:firstLine="640" w:firstLineChars="200"/>
        <w:rPr>
          <w:rFonts w:ascii="仿宋" w:eastAsia="仿宋" w:cs="仿宋_GB2312"/>
          <w:sz w:val="32"/>
          <w:szCs w:val="32"/>
        </w:rPr>
      </w:pPr>
    </w:p>
    <w:p>
      <w:pPr>
        <w:tabs>
          <w:tab w:val="left" w:pos="312"/>
        </w:tabs>
        <w:spacing w:line="580" w:lineRule="exact"/>
        <w:ind w:firstLine="640" w:firstLineChars="200"/>
        <w:rPr>
          <w:rFonts w:ascii="仿宋" w:eastAsia="仿宋" w:cs="仿宋_GB2312"/>
          <w:sz w:val="32"/>
          <w:szCs w:val="32"/>
        </w:rPr>
      </w:pPr>
      <w:r>
        <w:rPr>
          <w:rFonts w:hint="eastAsia" w:ascii="仿宋" w:eastAsia="仿宋" w:cs="仿宋_GB2312"/>
          <w:sz w:val="32"/>
          <w:szCs w:val="32"/>
        </w:rPr>
        <w:t>附表：</w:t>
      </w:r>
    </w:p>
    <w:tbl>
      <w:tblPr>
        <w:tblStyle w:val="12"/>
        <w:tblpPr w:leftFromText="180" w:rightFromText="180" w:vertAnchor="text" w:horzAnchor="page" w:tblpXSpec="center" w:tblpY="423"/>
        <w:tblOverlap w:val="never"/>
        <w:tblW w:w="97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6"/>
        <w:gridCol w:w="567"/>
        <w:gridCol w:w="1349"/>
        <w:gridCol w:w="1911"/>
        <w:gridCol w:w="3119"/>
        <w:gridCol w:w="1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796" w:type="dxa"/>
            <w:gridSpan w:val="6"/>
            <w:noWrap/>
            <w:tcMar>
              <w:top w:w="15" w:type="dxa"/>
              <w:left w:w="15" w:type="dxa"/>
              <w:right w:w="15" w:type="dxa"/>
            </w:tcMar>
            <w:vAlign w:val="center"/>
          </w:tcPr>
          <w:p>
            <w:pPr>
              <w:widowControl/>
              <w:jc w:val="center"/>
              <w:textAlignment w:val="center"/>
              <w:rPr>
                <w:rFonts w:ascii="宋体" w:cs="宋体"/>
                <w:b/>
                <w:bCs/>
                <w:color w:val="000000"/>
                <w:kern w:val="0"/>
                <w:sz w:val="32"/>
                <w:szCs w:val="32"/>
              </w:rPr>
            </w:pPr>
            <w:r>
              <w:rPr>
                <w:rFonts w:hint="eastAsia" w:ascii="黑体" w:eastAsia="黑体" w:cs="宋体"/>
                <w:bCs/>
                <w:color w:val="000000"/>
                <w:kern w:val="0"/>
                <w:sz w:val="32"/>
                <w:szCs w:val="32"/>
              </w:rPr>
              <w:t>2021年</w:t>
            </w:r>
            <w:r>
              <w:rPr>
                <w:rFonts w:ascii="黑体" w:eastAsia="黑体" w:cs="宋体"/>
                <w:bCs/>
                <w:color w:val="000000"/>
                <w:kern w:val="0"/>
                <w:sz w:val="32"/>
                <w:szCs w:val="32"/>
              </w:rPr>
              <w:t>50</w:t>
            </w:r>
            <w:r>
              <w:rPr>
                <w:rFonts w:hint="eastAsia" w:ascii="黑体" w:eastAsia="黑体" w:cs="宋体"/>
                <w:bCs/>
                <w:color w:val="000000"/>
                <w:kern w:val="0"/>
                <w:sz w:val="32"/>
                <w:szCs w:val="32"/>
              </w:rPr>
              <w:t>万元以上（含）特定目标类部门预算项目绩效目标自评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项目名称</w:t>
            </w:r>
          </w:p>
        </w:tc>
        <w:tc>
          <w:tcPr>
            <w:tcW w:w="701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2021市级少数民族发展金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预算单位</w:t>
            </w:r>
          </w:p>
        </w:tc>
        <w:tc>
          <w:tcPr>
            <w:tcW w:w="701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攀枝花民族宗教事务委员会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trPr>
        <w:tc>
          <w:tcPr>
            <w:tcW w:w="86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预算执行情况(万元)</w:t>
            </w:r>
          </w:p>
        </w:tc>
        <w:tc>
          <w:tcPr>
            <w:tcW w:w="19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预算数:</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97</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执行数:</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83.728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9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97</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83.728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9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0</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86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年度目标完成情况</w:t>
            </w:r>
          </w:p>
        </w:tc>
        <w:tc>
          <w:tcPr>
            <w:tcW w:w="382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预期目标</w:t>
            </w:r>
          </w:p>
        </w:tc>
        <w:tc>
          <w:tcPr>
            <w:tcW w:w="51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9"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382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维护民族宗教领域和谐稳定、提升民族宗教干部业务能力、少数民族群众自我发展能力，推进攀枝花市民族团结进步事业。</w:t>
            </w:r>
          </w:p>
        </w:tc>
        <w:tc>
          <w:tcPr>
            <w:tcW w:w="51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维护民族宗教领域和谐稳定、提升民族宗教干部业务能力、少数民族群众自我发展能力，推进攀枝花市民族团结进步事业。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86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绩</w:t>
            </w:r>
          </w:p>
          <w:p>
            <w:pPr>
              <w:widowControl/>
              <w:jc w:val="center"/>
              <w:textAlignment w:val="center"/>
              <w:rPr>
                <w:rFonts w:ascii="宋体" w:cs="宋体"/>
                <w:color w:val="000000"/>
                <w:sz w:val="24"/>
              </w:rPr>
            </w:pPr>
            <w:r>
              <w:rPr>
                <w:rFonts w:hint="eastAsia" w:ascii="宋体" w:cs="宋体"/>
                <w:color w:val="000000"/>
                <w:sz w:val="24"/>
              </w:rPr>
              <w:t>效</w:t>
            </w:r>
          </w:p>
          <w:p>
            <w:pPr>
              <w:widowControl/>
              <w:jc w:val="center"/>
              <w:textAlignment w:val="center"/>
              <w:rPr>
                <w:rFonts w:ascii="宋体" w:cs="宋体"/>
                <w:color w:val="000000"/>
                <w:sz w:val="24"/>
              </w:rPr>
            </w:pPr>
            <w:r>
              <w:rPr>
                <w:rFonts w:hint="eastAsia" w:ascii="宋体" w:cs="宋体"/>
                <w:color w:val="000000"/>
                <w:sz w:val="24"/>
              </w:rPr>
              <w:t>指</w:t>
            </w:r>
          </w:p>
          <w:p>
            <w:pPr>
              <w:widowControl/>
              <w:jc w:val="center"/>
              <w:textAlignment w:val="center"/>
              <w:rPr>
                <w:rFonts w:ascii="宋体" w:cs="宋体"/>
                <w:color w:val="000000"/>
                <w:sz w:val="24"/>
              </w:rPr>
            </w:pPr>
            <w:r>
              <w:rPr>
                <w:rFonts w:hint="eastAsia" w:ascii="宋体" w:cs="宋体"/>
                <w:color w:val="000000"/>
                <w:sz w:val="24"/>
              </w:rPr>
              <w:t>标</w:t>
            </w:r>
          </w:p>
          <w:p>
            <w:pPr>
              <w:widowControl/>
              <w:jc w:val="center"/>
              <w:textAlignment w:val="center"/>
              <w:rPr>
                <w:rFonts w:ascii="宋体" w:cs="宋体"/>
                <w:color w:val="000000"/>
                <w:sz w:val="24"/>
              </w:rPr>
            </w:pPr>
            <w:r>
              <w:rPr>
                <w:rFonts w:hint="eastAsia" w:ascii="宋体" w:cs="宋体"/>
                <w:color w:val="000000"/>
                <w:sz w:val="24"/>
              </w:rPr>
              <w:t>完</w:t>
            </w:r>
          </w:p>
          <w:p>
            <w:pPr>
              <w:widowControl/>
              <w:jc w:val="center"/>
              <w:textAlignment w:val="center"/>
              <w:rPr>
                <w:rFonts w:ascii="宋体" w:cs="宋体"/>
                <w:color w:val="000000"/>
                <w:sz w:val="24"/>
              </w:rPr>
            </w:pPr>
            <w:r>
              <w:rPr>
                <w:rFonts w:hint="eastAsia" w:ascii="宋体" w:cs="宋体"/>
                <w:color w:val="000000"/>
                <w:sz w:val="24"/>
              </w:rPr>
              <w:t>成</w:t>
            </w:r>
          </w:p>
          <w:p>
            <w:pPr>
              <w:widowControl/>
              <w:jc w:val="center"/>
              <w:textAlignment w:val="center"/>
              <w:rPr>
                <w:rFonts w:ascii="宋体" w:cs="宋体"/>
                <w:color w:val="000000"/>
                <w:sz w:val="24"/>
              </w:rPr>
            </w:pPr>
            <w:r>
              <w:rPr>
                <w:rFonts w:hint="eastAsia" w:ascii="宋体" w:cs="宋体"/>
                <w:color w:val="000000"/>
                <w:sz w:val="24"/>
              </w:rPr>
              <w:t>情</w:t>
            </w:r>
          </w:p>
          <w:p>
            <w:pPr>
              <w:widowControl/>
              <w:jc w:val="center"/>
              <w:textAlignment w:val="center"/>
              <w:rPr>
                <w:rFonts w:ascii="宋体" w:cs="宋体"/>
                <w:color w:val="000000"/>
                <w:sz w:val="24"/>
              </w:rPr>
            </w:pPr>
            <w:r>
              <w:rPr>
                <w:rFonts w:hint="eastAsia" w:ascii="宋体" w:cs="宋体"/>
                <w:color w:val="000000"/>
                <w:sz w:val="24"/>
              </w:rPr>
              <w:t>况</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一级指标</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二级指标</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三级指标</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预期指标值(包含数字及文字描述)</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项</w:t>
            </w:r>
          </w:p>
          <w:p>
            <w:pPr>
              <w:widowControl/>
              <w:jc w:val="center"/>
              <w:textAlignment w:val="center"/>
              <w:rPr>
                <w:rFonts w:ascii="宋体" w:cs="宋体"/>
                <w:color w:val="000000"/>
                <w:kern w:val="0"/>
                <w:sz w:val="24"/>
              </w:rPr>
            </w:pPr>
            <w:r>
              <w:rPr>
                <w:rFonts w:hint="eastAsia" w:ascii="宋体" w:cs="宋体"/>
                <w:color w:val="000000"/>
                <w:kern w:val="0"/>
                <w:sz w:val="24"/>
              </w:rPr>
              <w:t>目</w:t>
            </w:r>
          </w:p>
          <w:p>
            <w:pPr>
              <w:widowControl/>
              <w:jc w:val="center"/>
              <w:textAlignment w:val="center"/>
              <w:rPr>
                <w:rFonts w:ascii="宋体" w:cs="宋体"/>
                <w:color w:val="000000"/>
                <w:kern w:val="0"/>
                <w:sz w:val="24"/>
              </w:rPr>
            </w:pPr>
            <w:r>
              <w:rPr>
                <w:rFonts w:hint="eastAsia" w:ascii="宋体" w:cs="宋体"/>
                <w:color w:val="000000"/>
                <w:kern w:val="0"/>
                <w:sz w:val="24"/>
              </w:rPr>
              <w:t>完</w:t>
            </w:r>
          </w:p>
          <w:p>
            <w:pPr>
              <w:widowControl/>
              <w:jc w:val="center"/>
              <w:textAlignment w:val="center"/>
              <w:rPr>
                <w:rFonts w:ascii="宋体" w:cs="宋体"/>
                <w:color w:val="000000"/>
                <w:kern w:val="0"/>
                <w:sz w:val="24"/>
              </w:rPr>
            </w:pPr>
            <w:r>
              <w:rPr>
                <w:rFonts w:hint="eastAsia" w:ascii="宋体" w:cs="宋体"/>
                <w:color w:val="000000"/>
                <w:kern w:val="0"/>
                <w:sz w:val="24"/>
              </w:rPr>
              <w:t>成</w:t>
            </w:r>
          </w:p>
          <w:p>
            <w:pPr>
              <w:widowControl/>
              <w:jc w:val="center"/>
              <w:textAlignment w:val="center"/>
              <w:rPr>
                <w:rFonts w:ascii="宋体" w:cs="宋体"/>
                <w:color w:val="000000"/>
                <w:kern w:val="0"/>
                <w:sz w:val="24"/>
              </w:rPr>
            </w:pPr>
            <w:r>
              <w:rPr>
                <w:rFonts w:hint="eastAsia" w:ascii="宋体" w:cs="宋体"/>
                <w:color w:val="000000"/>
                <w:kern w:val="0"/>
                <w:sz w:val="24"/>
              </w:rPr>
              <w:t>指</w:t>
            </w:r>
          </w:p>
          <w:p>
            <w:pPr>
              <w:widowControl/>
              <w:jc w:val="center"/>
              <w:textAlignment w:val="center"/>
              <w:rPr>
                <w:rFonts w:ascii="宋体" w:cs="宋体"/>
                <w:color w:val="000000"/>
                <w:sz w:val="24"/>
              </w:rPr>
            </w:pPr>
            <w:r>
              <w:rPr>
                <w:rFonts w:hint="eastAsia" w:ascii="宋体" w:cs="宋体"/>
                <w:color w:val="000000"/>
                <w:kern w:val="0"/>
                <w:sz w:val="24"/>
              </w:rPr>
              <w:t>标</w:t>
            </w:r>
          </w:p>
          <w:p>
            <w:pPr>
              <w:jc w:val="center"/>
              <w:textAlignment w:val="center"/>
              <w:rPr>
                <w:rFonts w:ascii="宋体" w:cs="宋体"/>
                <w:color w:val="000000"/>
                <w:sz w:val="24"/>
              </w:rPr>
            </w:pPr>
          </w:p>
        </w:tc>
        <w:tc>
          <w:tcPr>
            <w:tcW w:w="134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宋体" w:cs="宋体"/>
                <w:bCs/>
                <w:sz w:val="24"/>
              </w:rPr>
            </w:pPr>
            <w:r>
              <w:rPr>
                <w:rFonts w:hint="eastAsia"/>
                <w:bCs/>
              </w:rPr>
              <w:t>数量指标</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sz w:val="18"/>
                <w:szCs w:val="18"/>
              </w:rPr>
            </w:pPr>
            <w:r>
              <w:rPr>
                <w:rFonts w:hint="eastAsia" w:ascii="宋体" w:eastAsia="宋体"/>
                <w:bCs/>
                <w:sz w:val="18"/>
                <w:szCs w:val="18"/>
              </w:rPr>
              <w:t>民族地区、城市社区特殊困难群众应急补助、慰问费；民族宗教领域风险防范及矛盾调处；城市社区民族工作创新试点等经费。</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sz w:val="18"/>
                <w:szCs w:val="18"/>
              </w:rPr>
            </w:pPr>
            <w:r>
              <w:rPr>
                <w:rFonts w:hint="eastAsia" w:ascii="宋体" w:eastAsia="宋体"/>
                <w:sz w:val="18"/>
                <w:szCs w:val="18"/>
              </w:rPr>
              <w:t>开展民族地区、城市社区特殊困难群众应急补助及春节慰问40余人次；开展民族宗教领域风险防范排查及民族工作“十四五”规划编制，民族宗教领域矛盾纠纷调处，民族地区禁毒防艾；市级城市社区民族工作创新试点，城市少数民族流动人口服务管理、民族宗教工作宣传等经费。</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sz w:val="18"/>
                <w:szCs w:val="18"/>
              </w:rPr>
            </w:pPr>
            <w:r>
              <w:rPr>
                <w:rFonts w:ascii="宋体" w:eastAsia="宋体"/>
                <w:sz w:val="18"/>
                <w:szCs w:val="18"/>
              </w:rPr>
              <w:t>44</w:t>
            </w:r>
            <w:r>
              <w:rPr>
                <w:rFonts w:hint="eastAsia" w:ascii="宋体" w:eastAsia="宋体"/>
                <w:sz w:val="18"/>
                <w:szCs w:val="18"/>
              </w:rPr>
              <w:t>%，慰问谜塘村困难户24户；开展民族地区禁毒防艾、森林防火宣传，开展城市社区民族工作试点等。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sz w:val="18"/>
                <w:szCs w:val="18"/>
              </w:rPr>
            </w:pPr>
            <w:r>
              <w:rPr>
                <w:rFonts w:hint="eastAsia" w:ascii="宋体" w:eastAsia="宋体"/>
                <w:sz w:val="18"/>
                <w:szCs w:val="18"/>
              </w:rPr>
              <w:t>民族地区实用技术、劳动技能培训；民族宗教工作培训和民族宗教干部学校运行经费</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sz w:val="18"/>
                <w:szCs w:val="18"/>
              </w:rPr>
            </w:pPr>
            <w:r>
              <w:rPr>
                <w:rFonts w:hint="eastAsia" w:ascii="宋体" w:eastAsia="宋体"/>
                <w:sz w:val="18"/>
                <w:szCs w:val="18"/>
              </w:rPr>
              <w:t>开展民族地区重要产业和特色产业科技实用技术培训；组建科技成果转化专家创新团队示范基地；开展民宗系统干部和乡（镇）、村（社区）民族宗教工作干部培训80人次；民宗干部学校运行保障经费，临聘人员劳务费、保险费等。</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sz w:val="18"/>
                <w:szCs w:val="18"/>
              </w:rPr>
            </w:pPr>
            <w:r>
              <w:rPr>
                <w:rFonts w:hint="eastAsia" w:ascii="宋体" w:eastAsia="宋体"/>
                <w:sz w:val="18"/>
                <w:szCs w:val="18"/>
              </w:rPr>
              <w:t>1</w:t>
            </w:r>
            <w:r>
              <w:rPr>
                <w:rFonts w:ascii="宋体" w:eastAsia="宋体"/>
                <w:sz w:val="18"/>
                <w:szCs w:val="18"/>
              </w:rPr>
              <w:t>00%</w:t>
            </w:r>
            <w:r>
              <w:rPr>
                <w:rFonts w:hint="eastAsia" w:ascii="宋体" w:eastAsia="宋体"/>
                <w:sz w:val="18"/>
                <w:szCs w:val="18"/>
              </w:rPr>
              <w:t>，开展民族地区实用技术培训和乡村振兴驻村第一书记培训、民族宗教干部培训2000人次；建立科技成果转换专家创新团队示范基地2个；民宗干部学校运行保障。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两资项目管理、培训</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资金用于两资项目公示、两资宣传、两资管理业务工作会议、项目绩效考评、项目指导调研、档案数字化、项目管理培训等。</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sz w:val="18"/>
                <w:szCs w:val="18"/>
              </w:rPr>
            </w:pPr>
            <w:r>
              <w:rPr>
                <w:rFonts w:hint="eastAsia" w:ascii="宋体" w:eastAsia="宋体"/>
                <w:sz w:val="18"/>
                <w:szCs w:val="18"/>
              </w:rPr>
              <w:t>6</w:t>
            </w:r>
            <w:r>
              <w:rPr>
                <w:rFonts w:ascii="宋体" w:eastAsia="宋体"/>
                <w:sz w:val="18"/>
                <w:szCs w:val="18"/>
              </w:rPr>
              <w:t>7%</w:t>
            </w:r>
            <w:r>
              <w:rPr>
                <w:rFonts w:hint="eastAsia" w:ascii="宋体" w:eastAsia="宋体"/>
                <w:sz w:val="18"/>
                <w:szCs w:val="18"/>
              </w:rPr>
              <w:t>，完成项目公示、宣传、会议、绩效考评、调研、培训等6余次，进行两资档案数字化等项目。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民族团结进步创建经费</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举办一期全市民族团结进步创建工作培训班50人左右；开展民族团结进步创建工作和命名第四批全市民族团结进步示范单位等相关工作经费。</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9</w:t>
            </w:r>
            <w:r>
              <w:rPr>
                <w:sz w:val="18"/>
                <w:szCs w:val="18"/>
              </w:rPr>
              <w:t>7%</w:t>
            </w:r>
            <w:r>
              <w:rPr>
                <w:rFonts w:hint="eastAsia"/>
                <w:sz w:val="18"/>
                <w:szCs w:val="18"/>
              </w:rPr>
              <w:t>，培训55人；开展全市民族团结进步示范单位评审工作等。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市民族宗教委电子政务内网机房建设项目</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按照市电子政务内网建设相关要求和标准，实施电子政务内网机房建设、配备安装机房设备设施。</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1</w:t>
            </w:r>
            <w:r>
              <w:rPr>
                <w:sz w:val="18"/>
                <w:szCs w:val="18"/>
              </w:rPr>
              <w:t>00%</w:t>
            </w:r>
            <w:r>
              <w:rPr>
                <w:rFonts w:hint="eastAsia"/>
                <w:sz w:val="18"/>
                <w:szCs w:val="18"/>
              </w:rPr>
              <w:t>，完成了电子政务内网建设，包括电子政务内网机房建设、配备安装机房设备设施。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宋体" w:cs="宋体"/>
                <w:bCs/>
                <w:sz w:val="24"/>
              </w:rPr>
            </w:pPr>
            <w:r>
              <w:rPr>
                <w:rFonts w:hint="eastAsia"/>
                <w:bCs/>
              </w:rPr>
              <w:t>质量指标</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18"/>
                <w:szCs w:val="18"/>
              </w:rPr>
            </w:pPr>
            <w:r>
              <w:rPr>
                <w:rFonts w:hint="eastAsia"/>
                <w:sz w:val="18"/>
                <w:szCs w:val="18"/>
              </w:rPr>
              <w:t>维护民族宗教领域稳定</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18"/>
                <w:szCs w:val="18"/>
              </w:rPr>
            </w:pPr>
            <w:r>
              <w:rPr>
                <w:rFonts w:hint="eastAsia"/>
                <w:sz w:val="18"/>
                <w:szCs w:val="18"/>
              </w:rPr>
              <w:t>保持稳定</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sz w:val="18"/>
                <w:szCs w:val="18"/>
              </w:rPr>
              <w:t>100%，开展少数</w:t>
            </w:r>
            <w:bookmarkStart w:id="104" w:name="_GoBack"/>
            <w:bookmarkEnd w:id="104"/>
            <w:r>
              <w:rPr>
                <w:rFonts w:hint="eastAsia"/>
                <w:sz w:val="18"/>
                <w:szCs w:val="18"/>
              </w:rPr>
              <w:t>民族流动人口的服务管理，维护社会稳定，提高少数民族群众禁毒防毒意识。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民族宗教干部、少数民族群众培训</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能力提升</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sz w:val="18"/>
                <w:szCs w:val="18"/>
              </w:rPr>
              <w:t>1</w:t>
            </w:r>
            <w:r>
              <w:rPr>
                <w:sz w:val="18"/>
                <w:szCs w:val="18"/>
              </w:rPr>
              <w:t>00%</w:t>
            </w:r>
            <w:r>
              <w:rPr>
                <w:rFonts w:hint="eastAsia"/>
                <w:sz w:val="18"/>
                <w:szCs w:val="18"/>
              </w:rPr>
              <w:t>，促进民族地区群众技术水平提升。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两资管理工作</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两资管理工作规范有效</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sz w:val="18"/>
                <w:szCs w:val="18"/>
              </w:rPr>
              <w:t>1</w:t>
            </w:r>
            <w:r>
              <w:rPr>
                <w:sz w:val="18"/>
                <w:szCs w:val="18"/>
              </w:rPr>
              <w:t>00%</w:t>
            </w:r>
            <w:r>
              <w:rPr>
                <w:rFonts w:hint="eastAsia"/>
                <w:sz w:val="18"/>
                <w:szCs w:val="18"/>
              </w:rPr>
              <w:t>，确保两资项目发挥最大效益。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巩固民族团结进步事业</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巩固树立中华民族共同体意识</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1</w:t>
            </w:r>
            <w:r>
              <w:rPr>
                <w:sz w:val="18"/>
                <w:szCs w:val="18"/>
              </w:rPr>
              <w:t>00%</w:t>
            </w:r>
            <w:r>
              <w:rPr>
                <w:rFonts w:hint="eastAsia"/>
                <w:sz w:val="18"/>
                <w:szCs w:val="18"/>
              </w:rPr>
              <w:t>，提升全市民族团结进步创建工作质量，促进民族团结事业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电子政务内网机房建设项目</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符合市电子政务内网建设相关要求和标准</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1</w:t>
            </w:r>
            <w:r>
              <w:rPr>
                <w:sz w:val="18"/>
                <w:szCs w:val="18"/>
              </w:rPr>
              <w:t>00%</w:t>
            </w:r>
            <w:r>
              <w:rPr>
                <w:rFonts w:hint="eastAsia"/>
                <w:sz w:val="18"/>
                <w:szCs w:val="18"/>
              </w:rPr>
              <w:t>符合市电子政务内网建设相关要求和标准，完成了电子政务内网建设。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Cs/>
                <w:sz w:val="24"/>
              </w:rPr>
            </w:pPr>
            <w:r>
              <w:rPr>
                <w:rFonts w:hint="eastAsia"/>
                <w:bCs/>
              </w:rPr>
              <w:t>时效指标</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18"/>
                <w:szCs w:val="18"/>
              </w:rPr>
            </w:pPr>
            <w:r>
              <w:rPr>
                <w:rFonts w:hint="eastAsia"/>
                <w:sz w:val="18"/>
                <w:szCs w:val="18"/>
              </w:rPr>
              <w:t>按工作计划推进</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18"/>
                <w:szCs w:val="18"/>
              </w:rPr>
            </w:pPr>
            <w:r>
              <w:rPr>
                <w:rFonts w:hint="eastAsia"/>
                <w:sz w:val="18"/>
                <w:szCs w:val="18"/>
              </w:rPr>
              <w:t>202</w:t>
            </w:r>
            <w:r>
              <w:rPr>
                <w:sz w:val="18"/>
                <w:szCs w:val="18"/>
              </w:rPr>
              <w:t>1</w:t>
            </w:r>
            <w:r>
              <w:rPr>
                <w:rFonts w:hint="eastAsia"/>
                <w:sz w:val="18"/>
                <w:szCs w:val="18"/>
              </w:rPr>
              <w:t>年全年</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sz w:val="18"/>
                <w:szCs w:val="18"/>
              </w:rPr>
            </w:pPr>
            <w:r>
              <w:rPr>
                <w:sz w:val="18"/>
                <w:szCs w:val="18"/>
              </w:rPr>
              <w:t>86</w:t>
            </w:r>
            <w:r>
              <w:rPr>
                <w:rFonts w:hint="eastAsia"/>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宋体" w:cs="宋体"/>
                <w:bCs/>
                <w:sz w:val="24"/>
              </w:rPr>
            </w:pPr>
            <w:r>
              <w:rPr>
                <w:rFonts w:hint="eastAsia"/>
                <w:bCs/>
              </w:rPr>
              <w:t>成本指标</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18"/>
                <w:szCs w:val="18"/>
              </w:rPr>
            </w:pPr>
            <w:r>
              <w:rPr>
                <w:rFonts w:hint="eastAsia"/>
                <w:sz w:val="18"/>
                <w:szCs w:val="18"/>
              </w:rPr>
              <w:t>困难群众应急补助及慰问；民族宗教风险防范及矛盾调处，城市社区民族工作试点</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18"/>
                <w:szCs w:val="18"/>
              </w:rPr>
            </w:pPr>
            <w:r>
              <w:rPr>
                <w:rFonts w:hint="eastAsia"/>
                <w:sz w:val="18"/>
                <w:szCs w:val="18"/>
              </w:rPr>
              <w:t>共2</w:t>
            </w:r>
            <w:r>
              <w:rPr>
                <w:sz w:val="18"/>
                <w:szCs w:val="18"/>
              </w:rPr>
              <w:t>0</w:t>
            </w:r>
            <w:r>
              <w:rPr>
                <w:rFonts w:hint="eastAsia"/>
                <w:sz w:val="18"/>
                <w:szCs w:val="18"/>
              </w:rPr>
              <w:t>万元</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sz w:val="18"/>
                <w:szCs w:val="18"/>
              </w:rPr>
              <w:t>44</w:t>
            </w:r>
            <w:r>
              <w:rPr>
                <w:rFonts w:hint="eastAsia"/>
                <w:sz w:val="18"/>
                <w:szCs w:val="18"/>
              </w:rPr>
              <w:t>%，8</w:t>
            </w:r>
            <w:r>
              <w:rPr>
                <w:sz w:val="18"/>
                <w:szCs w:val="18"/>
              </w:rPr>
              <w:t>.728</w:t>
            </w:r>
            <w:r>
              <w:rPr>
                <w:rFonts w:hint="eastAsia"/>
                <w:sz w:val="18"/>
                <w:szCs w:val="18"/>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民族地区实用技术、劳动技能培训；民族宗教工作培训和民宗干部学校运行经费</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43.5万元</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1</w:t>
            </w:r>
            <w:r>
              <w:rPr>
                <w:sz w:val="18"/>
                <w:szCs w:val="18"/>
              </w:rPr>
              <w:t>00%</w:t>
            </w:r>
            <w:r>
              <w:rPr>
                <w:rFonts w:hint="eastAsia"/>
                <w:sz w:val="18"/>
                <w:szCs w:val="18"/>
              </w:rPr>
              <w:t>，4</w:t>
            </w:r>
            <w:r>
              <w:rPr>
                <w:sz w:val="18"/>
                <w:szCs w:val="18"/>
              </w:rPr>
              <w:t>3.5</w:t>
            </w:r>
            <w:r>
              <w:rPr>
                <w:rFonts w:hint="eastAsia"/>
                <w:sz w:val="18"/>
                <w:szCs w:val="18"/>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两资项目管理、培训</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5万元</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6</w:t>
            </w:r>
            <w:r>
              <w:rPr>
                <w:sz w:val="18"/>
                <w:szCs w:val="18"/>
              </w:rPr>
              <w:t>7%</w:t>
            </w:r>
            <w:r>
              <w:rPr>
                <w:rFonts w:hint="eastAsia"/>
                <w:sz w:val="18"/>
                <w:szCs w:val="18"/>
              </w:rPr>
              <w:t>，3.36万元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民族团结进步创建经费</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12万元</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9</w:t>
            </w:r>
            <w:r>
              <w:rPr>
                <w:sz w:val="18"/>
                <w:szCs w:val="18"/>
              </w:rPr>
              <w:t>7%</w:t>
            </w:r>
            <w:r>
              <w:rPr>
                <w:rFonts w:hint="eastAsia"/>
                <w:sz w:val="18"/>
                <w:szCs w:val="18"/>
              </w:rPr>
              <w:t>，11.64万元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电子政务内网机房建设项目</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16.5万元</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1</w:t>
            </w:r>
            <w:r>
              <w:rPr>
                <w:sz w:val="18"/>
                <w:szCs w:val="18"/>
              </w:rPr>
              <w:t>00%</w:t>
            </w:r>
            <w:r>
              <w:rPr>
                <w:rFonts w:hint="eastAsia"/>
                <w:sz w:val="18"/>
                <w:szCs w:val="18"/>
              </w:rPr>
              <w:t>，1</w:t>
            </w:r>
            <w:r>
              <w:rPr>
                <w:sz w:val="18"/>
                <w:szCs w:val="18"/>
              </w:rPr>
              <w:t>6.5</w:t>
            </w:r>
            <w:r>
              <w:rPr>
                <w:rFonts w:hint="eastAsia"/>
                <w:sz w:val="18"/>
                <w:szCs w:val="18"/>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效益指标</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Cs/>
                <w:sz w:val="24"/>
              </w:rPr>
            </w:pPr>
            <w:r>
              <w:rPr>
                <w:rFonts w:hint="eastAsia"/>
                <w:bCs/>
              </w:rPr>
              <w:t>社会效益</w:t>
            </w:r>
            <w:r>
              <w:rPr>
                <w:rFonts w:hint="eastAsia"/>
                <w:bCs/>
              </w:rPr>
              <w:br w:type="textWrapping"/>
            </w:r>
            <w:r>
              <w:rPr>
                <w:rFonts w:hint="eastAsia"/>
                <w:bCs/>
              </w:rPr>
              <w:t>指标</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18"/>
                <w:szCs w:val="18"/>
              </w:rPr>
            </w:pPr>
            <w:r>
              <w:rPr>
                <w:rFonts w:hint="eastAsia"/>
                <w:sz w:val="18"/>
                <w:szCs w:val="18"/>
              </w:rPr>
              <w:t>维护民族宗教领域和谐稳定，促进民族地区各项事业发展</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18"/>
                <w:szCs w:val="18"/>
              </w:rPr>
            </w:pPr>
            <w:r>
              <w:rPr>
                <w:rFonts w:hint="eastAsia"/>
                <w:sz w:val="18"/>
                <w:szCs w:val="18"/>
              </w:rPr>
              <w:t>100%-80%（含）</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8"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满意度指标</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Cs/>
                <w:sz w:val="24"/>
              </w:rPr>
            </w:pPr>
            <w:r>
              <w:rPr>
                <w:rFonts w:hint="eastAsia"/>
                <w:bCs/>
              </w:rPr>
              <w:t>服务对象</w:t>
            </w:r>
            <w:r>
              <w:rPr>
                <w:rFonts w:hint="eastAsia"/>
                <w:bCs/>
              </w:rPr>
              <w:br w:type="textWrapping"/>
            </w:r>
            <w:r>
              <w:rPr>
                <w:rFonts w:hint="eastAsia"/>
                <w:bCs/>
              </w:rPr>
              <w:t>满意度指标</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18"/>
                <w:szCs w:val="18"/>
              </w:rPr>
            </w:pPr>
            <w:r>
              <w:rPr>
                <w:rFonts w:hint="eastAsia"/>
                <w:sz w:val="18"/>
                <w:szCs w:val="18"/>
              </w:rPr>
              <w:t>少数民族群众及各级民族宗教干部</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18"/>
                <w:szCs w:val="18"/>
              </w:rPr>
            </w:pPr>
            <w:r>
              <w:rPr>
                <w:rFonts w:hint="eastAsia"/>
                <w:sz w:val="18"/>
                <w:szCs w:val="18"/>
              </w:rPr>
              <w:t>100%-80%（含）</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100%</w:t>
            </w:r>
          </w:p>
        </w:tc>
      </w:tr>
    </w:tbl>
    <w:p>
      <w:pPr>
        <w:pStyle w:val="3"/>
        <w:rPr>
          <w:rFonts w:hint="eastAsia"/>
          <w:lang w:eastAsia="zh-CN"/>
        </w:rPr>
      </w:pPr>
      <w:bookmarkStart w:id="86" w:name="_Toc25761"/>
      <w:bookmarkStart w:id="87" w:name="_Toc15377226"/>
      <w:r>
        <w:rPr>
          <w:rFonts w:hint="eastAsia"/>
          <w:lang w:val="en-US" w:eastAsia="zh-CN"/>
        </w:rPr>
        <w:t>附件3</w:t>
      </w:r>
      <w:bookmarkEnd w:id="86"/>
    </w:p>
    <w:p>
      <w:pPr>
        <w:widowControl/>
        <w:snapToGrid w:val="0"/>
        <w:spacing w:line="300" w:lineRule="auto"/>
        <w:jc w:val="center"/>
        <w:rPr>
          <w:rFonts w:hint="eastAsia" w:ascii="方正小标宋_GBK" w:eastAsia="方正小标宋_GBK"/>
          <w:color w:val="000000"/>
          <w:kern w:val="0"/>
          <w:sz w:val="44"/>
          <w:szCs w:val="44"/>
        </w:rPr>
      </w:pPr>
      <w:r>
        <w:rPr>
          <w:rFonts w:hint="eastAsia" w:ascii="方正小标宋_GBK" w:eastAsia="方正小标宋_GBK"/>
          <w:color w:val="000000"/>
          <w:kern w:val="0"/>
          <w:sz w:val="44"/>
          <w:szCs w:val="44"/>
        </w:rPr>
        <w:t>攀枝花市民族宗教事务委员会</w:t>
      </w:r>
    </w:p>
    <w:p>
      <w:pPr>
        <w:widowControl/>
        <w:snapToGrid w:val="0"/>
        <w:spacing w:line="300" w:lineRule="auto"/>
        <w:jc w:val="center"/>
        <w:rPr>
          <w:rFonts w:hint="eastAsia" w:ascii="方正小标宋_GBK" w:eastAsia="方正小标宋_GBK"/>
          <w:color w:val="000000"/>
          <w:kern w:val="0"/>
          <w:sz w:val="44"/>
          <w:szCs w:val="44"/>
        </w:rPr>
      </w:pPr>
      <w:r>
        <w:rPr>
          <w:rFonts w:hint="eastAsia" w:ascii="方正小标宋_GBK" w:eastAsia="方正小标宋_GBK"/>
          <w:color w:val="000000"/>
          <w:kern w:val="0"/>
          <w:sz w:val="44"/>
          <w:szCs w:val="44"/>
        </w:rPr>
        <w:t>2021年度部门预算项目支出绩效自评报告</w:t>
      </w:r>
    </w:p>
    <w:p>
      <w:pPr>
        <w:widowControl/>
        <w:spacing w:line="288" w:lineRule="auto"/>
        <w:jc w:val="left"/>
        <w:rPr>
          <w:rFonts w:hint="eastAsia" w:ascii="黑体" w:eastAsia="黑体"/>
          <w:color w:val="000000"/>
          <w:kern w:val="0"/>
          <w:szCs w:val="32"/>
        </w:rPr>
      </w:pPr>
    </w:p>
    <w:p>
      <w:pPr>
        <w:widowControl/>
        <w:snapToGrid w:val="0"/>
        <w:spacing w:line="353" w:lineRule="auto"/>
        <w:ind w:firstLine="640" w:firstLineChars="200"/>
        <w:contextualSpacing/>
        <w:jc w:val="left"/>
        <w:rPr>
          <w:rFonts w:hint="eastAsia" w:ascii="黑体" w:eastAsia="黑体"/>
          <w:color w:val="000000"/>
          <w:kern w:val="0"/>
          <w:sz w:val="32"/>
          <w:szCs w:val="32"/>
        </w:rPr>
      </w:pPr>
      <w:r>
        <w:rPr>
          <w:rFonts w:hint="eastAsia" w:ascii="黑体" w:eastAsia="黑体"/>
          <w:color w:val="000000"/>
          <w:kern w:val="0"/>
          <w:sz w:val="32"/>
          <w:szCs w:val="32"/>
        </w:rPr>
        <w:t>一、全市性宗教团体工作经费</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（一）项目概况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1.项目基本情况。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（1）项目主管部门（单位）在该项目管理中的职能</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我委依法保护公民宗教信仰自由和正常的宗教活动，维护宗教界合法权益，支持宗教团体加强自身建设。我市各全市性宗教团体在引导信教群众维护民族团结、宗教和顺、社会稳定，为全面建设幸福美丽攀枝花有积极贡献，但各全市性宗教团体的自养能力较差，日常办公及业务工作开展经费紧张，需对各全市性宗教团体给予一定金额工作经费补助，解决各全市性宗教团体办公及业务工作开展中的一些实际困难。</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（2）项目立项、资金申报的依据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（3）资金管理办法制定情况，资金支持具体项目的条件、范围与支持方式概况。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我市各全市性宗教团体实际情况初步确定各全市性宗教团体工作经费发放标准，报委党组会审议，审议通过后按照《攀枝花市全市性宗教团体工作经费使用范围》要求，对经费使用情况进行监督管理，确保工作经费落到实处，取得实效。</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（4）资金分配的原则及考虑因素。</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通过对各全市性宗教团体给予一定金额工作经费补助，解决各全市性宗教团体办公及业务工作开展中的一些实际困难，进一步加强我市各全市性宗教团体的组织、思想、制度等建设，充分发挥各宗教团体桥梁纽带作用，对维持我市宗教界和谐稳定具有重大积极作用。</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（1）项目主要内容。</w:t>
      </w:r>
    </w:p>
    <w:p>
      <w:pPr>
        <w:widowControl/>
        <w:spacing w:line="576" w:lineRule="exact"/>
        <w:ind w:firstLine="640" w:firstLineChars="200"/>
        <w:jc w:val="left"/>
        <w:rPr>
          <w:rFonts w:hint="eastAsia" w:ascii="仿宋_GB2312" w:hAnsi="仿宋_GB2312"/>
        </w:rPr>
      </w:pPr>
      <w:r>
        <w:rPr>
          <w:rFonts w:hint="eastAsia" w:ascii="仿宋_GB2312" w:eastAsia="仿宋_GB2312"/>
          <w:color w:val="333333"/>
          <w:sz w:val="32"/>
          <w:szCs w:val="32"/>
        </w:rPr>
        <w:t>通过对各全市性宗教团体给予一定金额工作经费补助，解决各全市性宗教团体办公及业务工作开展中的一些实际困难，进一步加强我市各全市性宗教团体的组织、思想、制度等建设，充分发挥各宗教团体桥梁纽带作用，对维持我市宗教界和谐稳定具有重大积极作用。</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（2）项目应实现的具体绩效目标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市伊斯兰教协会工作经费7万元、市佛教协会工作经费6万元、市天主教爱国会工作经费6万元、市基督教三自爱国运动委员会工作经费6万元，合计25万元。进一步加强我市各全市性宗教团体的组织、思想、制度等建设，充分发挥各宗教团体桥梁纽带作用，对维持我市宗教界和谐稳定具有重大积极作用。</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（3）分析评价申报内容是否与实际相符，申报目标是否合理可行。</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项目分析评价均来源项目实际情况，与实际相符，目标合理可行。</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（二）项目资金申报及使用情况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1.项目资金申报及批复情况。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年初预算申请25万元，2021年年初预算批复25万元。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2.资金计划、到位及使用情况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（1）资金计划。项目计划2021年市本级拨付25万元，市级财政资金到位25万元。</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（2）资金到位。2021年年初预算下达项目资金25万元（其他民族事务支出2012399），资金到位率100%。</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使用。2021年该笔项目资金实际拨付市伊斯兰教协会工作经费7万元、市佛教协会工作经费6万元、市天主教爱国会工作经费6万元、市基督教三自爱国运动委员会工作经费6万元，合计25万元。与预算相符。全年预算执行率100%。</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3.项目财务管理情况。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单位财务管理制度健全，严格执行财务管理制度，账务处理及时，会计核算规范。</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（三）项目实施及管理情况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我市各全市性宗教团体实际情况初步确定各全市性宗教团体工作经费发放标准，报委党组会审议，审议通过后按照《攀枝花市全市性宗教团体工作经费使用范围》要求，对经费使用情况进行监督管理，确保工作经费落到实处，取得实效。</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（四）项目绩效情况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1.项目完成情况。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市伊斯兰教协会工作经费7万元、市佛教协会工作经费6万元、市天主教爱国会工作经费6万元、市基督教三自爱国运动委员会工作经费6万元，合计25万元。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2.项目效益情况。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进一步加强我市各全市性宗教团体的组织、思想、制度等建设，充分发挥各宗教团体桥梁纽带作用，对维持我市宗教界和谐稳定具有重大积极作用。</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（五）评价结论及建议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640" w:firstLineChars="200"/>
        <w:contextualSpacing/>
        <w:jc w:val="left"/>
        <w:rPr>
          <w:rFonts w:hint="eastAsia" w:ascii="黑体" w:eastAsia="黑体"/>
          <w:color w:val="000000"/>
          <w:kern w:val="0"/>
          <w:sz w:val="32"/>
          <w:szCs w:val="32"/>
        </w:rPr>
      </w:pPr>
      <w:r>
        <w:rPr>
          <w:rFonts w:hint="eastAsia" w:ascii="黑体" w:eastAsia="黑体"/>
          <w:color w:val="000000"/>
          <w:kern w:val="0"/>
          <w:sz w:val="32"/>
          <w:szCs w:val="32"/>
        </w:rPr>
        <w:t>二、困难宗教界人士生活补助费</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（一）项目概况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1.项目基本情况。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（1）项目主管部门（单位）在该项目管理中的职能</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为解决我市宗教界人士的现实困难，体现党和政府对宗教界人士的关心关怀，团结、争取宗教界人士，有效维护我市宗教界的和谐稳定，对存在困难的宗教界人士发放生活补助。</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（2）项目立项、资金申报的依据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（3）资金管理办法制定情况，资金支持具体项目的条件、范围与支持方式概况。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攀枝花市困难宗教界人士生活补助费管理使用办法》要求，结合我市每年宗教界生活存在困难人士情况，初步拟定补助方案，包含经费来源、经费预算、补助对象、补助金额等情况，提交委党组会审议，审议通过后印发具体补助方案，按照方案确定的补助对象及补助金额，发放补助费，确保补助费用发放到位。</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（4）资金分配的原则及考虑因素。</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全面贯彻党的宗教工作基本方针，巩固党同宗教界的爱国统一战线，结合我市每年宗教界生活存在困难人士情况，拟定补助方案，增强宗教界人士爱国热情，促进我市宗教领域的和谐稳定。</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（1）项目主要内容。</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通过对宗教界人士的关心和慰问，对各全市困难宗教界人士给予一定金额补助，维持我市宗教领域的长期和谐稳定，积极引导宗教与社会主义社会相适应。</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（2）项目应实现的具体绩效目标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2021年预计补助我市宗教界生活困难人士40人次，人均补助标准为2500元/人，合计需10万元。在一定程度上缓解宗教界人士困难程度，凝聚广大宗教界人士爱国、爱党、爱教的同心力。</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（3）分析评价申报内容是否与实际相符，申报目标是否合理可行。</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项目分析评价均来源项目实际情况，与实际相符，目标合理可行。</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（二）项目资金申报及使用情况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1.项目资金申报及批复情况。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年初预算申请10万元，2021年年初预算批复10万元。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2.资金计划、到位及使用情况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（1）资金计划。项目计划2021年市本级拨付10万元，市级财政资金到位10万元。</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（2）资金到位。2021年年初预算下达项目资金10万元（其他民族事务支出2012399），资金到位率100%。</w:t>
      </w:r>
    </w:p>
    <w:p>
      <w:pPr>
        <w:widowControl/>
        <w:snapToGrid w:val="0"/>
        <w:spacing w:line="353" w:lineRule="auto"/>
        <w:ind w:firstLine="640" w:firstLineChars="200"/>
        <w:contextualSpacing/>
        <w:jc w:val="left"/>
        <w:rPr>
          <w:rFonts w:hint="eastAsia" w:ascii="仿宋_GB2312" w:hAnsi="仿宋_GB2312"/>
        </w:rPr>
      </w:pPr>
      <w:r>
        <w:rPr>
          <w:rFonts w:hint="eastAsia" w:ascii="仿宋_GB2312" w:eastAsia="仿宋_GB2312"/>
          <w:color w:val="333333"/>
          <w:sz w:val="32"/>
          <w:szCs w:val="32"/>
        </w:rPr>
        <w:t>（3）资金使用。2021年该笔项目资金实际补助我市宗教界生活困难人士43人次。比预算预计人次略高，大致与预算相符，主要是结合我市每年宗教界生活存在困难人士情况变化。全年预算执行率100%。</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3.项目财务管理情况。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单位财务管理制度健全，严格执行财务管理制度，账务处理及时，会计核算规范。</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（三）项目实施及管理情况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攀枝花市困难宗教界人士生活补助费管理使用办法》要求，结合我市每年宗教界生活存在困难人士情况，初步拟定补助方案，包含经费来源、经费预算、补助对象、补助金额等情况，提交委党组会审议，审议通过后印发具体补助方案，按照方案确定的补助对象及补助金额，发放补助费，确保补助费用发放到位。</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（四）项目绩效情况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1.项目完成情况。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2021年该笔项目资金实际补助我市宗教界生活困难人士43人次，合计10万元。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2.项目效益情况。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在一定程度上缓解宗教界人士困难程度，凝聚广大宗教界人士爱国、爱党、爱教的同心力。</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（五）评价结论及建议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640" w:firstLineChars="200"/>
        <w:contextualSpacing/>
        <w:jc w:val="left"/>
        <w:rPr>
          <w:rFonts w:hint="eastAsia" w:ascii="黑体" w:eastAsia="黑体"/>
          <w:color w:val="000000"/>
          <w:kern w:val="0"/>
          <w:sz w:val="32"/>
          <w:szCs w:val="32"/>
        </w:rPr>
      </w:pPr>
      <w:r>
        <w:rPr>
          <w:rFonts w:hint="eastAsia" w:ascii="黑体" w:eastAsia="黑体"/>
          <w:color w:val="000000"/>
          <w:kern w:val="0"/>
          <w:sz w:val="32"/>
          <w:szCs w:val="32"/>
        </w:rPr>
        <w:t>三、宗教界人士慰问费</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（一）项目概况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1.项目基本情况。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（1）项目主管部门（单位）在该项目管理中的职能</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为进一步团结宗教界人士，加强与宗教界人士间的沟通交流，对为我市宗教界的和谐稳定做出过积极贡献的宗教界人士进行慰问，让他们感受到党和政府的关怀，将他们团结在党和政府周围，带领全市信教公民共同维护我市宗教领域和谐稳定。</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（2）项目立项、资金申报的依据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（3）资金管理办法制定情况，资金支持具体项目的条件、范围与支持方式概况。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我市每年宗教界人士情况，初步拟定慰问方案，包含经费来源、经费预算、慰问对象、慰问金额等情况，提交委党组会审议，审议通过后印发具体慰问方案，按照方案确定的慰问对象及慰问金额，发放慰问费，确保慰问费用发放到位。</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（4）资金分配的原则及考虑因素。</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结合我市每年宗教界人士情况，拟定补助方案，增强宗教界人士爱国热情，促进我市宗教领域的和谐稳定。</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（1）项目主要内容。</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通过对全市宗教教职人员、信教骨干代表的关心和慰问，维持我市宗教领域的长期和谐稳定，积极引导宗教与社会主义社会相适应。</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（2）项目应实现的具体绩效目标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2021年预计慰问40人左右，慰问标准为1500元/人，合计需3万元，由财政全额支持。全面贯彻党的宗教工作基本方针，巩固党同宗教界的爱国统一战线，增强宗教界人士爱国热情，促进我市宗教领域的和谐稳定。</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（3）分析评价申报内容是否与实际相符，申报目标是否合理可行。</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项目分析评价均来源项目实际情况，与实际相符，目标合理可行。</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（二）项目资金申报及使用情况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1.项目资金申报及批复情况。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年初预算申请3万元，2021年年初预算批复3万元。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2.资金计划、到位及使用情况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（1）资金计划。项目计划2021年市本级拨付3万元，市级财政资金到位3万元。</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（2）资金到位。2021年年初预算下达项目资金3万元（其他民族事务支出2012399），资金到位率100%。</w:t>
      </w:r>
    </w:p>
    <w:p>
      <w:pPr>
        <w:widowControl/>
        <w:snapToGrid w:val="0"/>
        <w:spacing w:line="353" w:lineRule="auto"/>
        <w:ind w:firstLine="640" w:firstLineChars="200"/>
        <w:contextualSpacing/>
        <w:jc w:val="left"/>
        <w:rPr>
          <w:rFonts w:hint="eastAsia" w:ascii="仿宋_GB2312" w:hAnsi="仿宋_GB2312"/>
        </w:rPr>
      </w:pPr>
      <w:r>
        <w:rPr>
          <w:rFonts w:hint="eastAsia" w:ascii="仿宋_GB2312" w:eastAsia="仿宋_GB2312"/>
          <w:color w:val="333333"/>
          <w:sz w:val="32"/>
          <w:szCs w:val="32"/>
        </w:rPr>
        <w:t>（3）资金使用。2021年该笔项目资金实际补助我市全市宗教教职人员、信教骨干代表63人次。比预算数据略高，大致与预算相符，主要是结合我市每年宗教界人士情况变化。全年预算执行率100%。</w:t>
      </w:r>
    </w:p>
    <w:p>
      <w:pPr>
        <w:spacing w:line="576" w:lineRule="exact"/>
        <w:ind w:firstLine="642" w:firstLineChars="200"/>
        <w:rPr>
          <w:rFonts w:hint="eastAsia" w:ascii="仿宋_GB2312" w:hAnsi="仿宋_GB2312"/>
          <w:b/>
          <w:kern w:val="0"/>
          <w:szCs w:val="32"/>
        </w:rPr>
      </w:pPr>
      <w:r>
        <w:rPr>
          <w:rFonts w:hint="eastAsia" w:ascii="仿宋_GB2312" w:eastAsia="仿宋_GB2312"/>
          <w:b/>
          <w:color w:val="333333"/>
          <w:sz w:val="32"/>
          <w:szCs w:val="32"/>
        </w:rPr>
        <w:t>3.项目财务管理情况。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单位财务管理制度健全，严格执行财务管理制度，账务处理及时，会计核算规范。</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（三）项目实施及管理情况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我市每年宗教界人士情况，初步拟定慰问方案，包含经费来源、经费预算、慰问对象、慰问金额等情况，提交委党组会审议，审议通过后印发具体慰问方案，按照方案确定的慰问对象及慰问金额，发放慰问费，确保慰问费用发放到位。</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（四）项目绩效情况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1.项目完成情况。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2021年该笔项目资金实际补助我市全市宗教教职人员、信教骨干代表63人次，合计3万元。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2.项目效益情况。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通过慰问全市宗教教职人员、信教骨干代表，凝聚广大宗教界人士爱国、爱党、爱教的同心力，维持我市宗教领域的长期和谐稳定。</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（五）评价结论及建议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该项目评价结果较好，资金使用绩效显著，项目管理绩效突出，整体绩效水平有所提高，服务对象较为满意。今后将进一步加强项目开展进度的跟踪及监管，发挥资金的使用效益，提高预算完成率。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640" w:firstLineChars="200"/>
        <w:contextualSpacing/>
        <w:jc w:val="left"/>
        <w:rPr>
          <w:rFonts w:hint="eastAsia" w:ascii="黑体" w:eastAsia="黑体"/>
          <w:color w:val="000000"/>
          <w:kern w:val="0"/>
          <w:sz w:val="32"/>
          <w:szCs w:val="32"/>
        </w:rPr>
      </w:pPr>
      <w:r>
        <w:rPr>
          <w:rFonts w:hint="eastAsia" w:ascii="黑体" w:eastAsia="黑体"/>
          <w:color w:val="000000"/>
          <w:kern w:val="0"/>
          <w:sz w:val="32"/>
          <w:szCs w:val="32"/>
        </w:rPr>
        <w:t>四、宗教工作专项经费</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（一）项目概况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1.项目基本情况。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（1）项目主管部门（单位）在该项目管理中的职能</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规范我市宗教工作管理，加强宗教界人士教育培训，宗教工作干部外出参加学习、培训、考察、会议、对接工作等费用，召开宗教工作相关会议等。</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（2）项目立项、资金申报的依据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widowControl/>
        <w:spacing w:line="576" w:lineRule="exact"/>
        <w:ind w:firstLine="640" w:firstLineChars="200"/>
        <w:jc w:val="left"/>
        <w:rPr>
          <w:rFonts w:hint="eastAsia" w:ascii="仿宋_GB2312" w:hAnsi="仿宋_GB2312"/>
          <w:color w:val="000000"/>
          <w:kern w:val="0"/>
          <w:szCs w:val="32"/>
        </w:rPr>
      </w:pPr>
      <w:r>
        <w:rPr>
          <w:rFonts w:hint="eastAsia" w:ascii="仿宋_GB2312" w:eastAsia="仿宋_GB2312"/>
          <w:color w:val="333333"/>
          <w:sz w:val="32"/>
          <w:szCs w:val="32"/>
        </w:rPr>
        <w:t>（3）资金管理办法制定情况，资金支持具体项目的条件、范围与支持方式概况。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按照年度工作要点、工作计划，有序推进我市宗教工作落地，实时对经费使用情况进行监督管理，确保工作经费落到实处，取得实效。</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（4）资金分配的原则及考虑因素。</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有序推进我市宗教工作落地，进一步提升我市宗教界人士综合素质，推进宗教团体、宗教活动场所规范化管理水平，提升宗教团体和宗教活动场所加强自身建设，积极引导宗教与社会主义社会相适应，维持我市宗教界长期和谐稳定。</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（1）项目主要内容。</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通过对宗教界人士开展法律法规、财务管理、安全等方面培训，为进一步提升我市宗教界人士综合素质，推进宗教团体、宗教活动场所规范化管理水平，提升宗教团体和宗教活动场所加强自身建设，积极引导宗教与社会主义社会相适应。</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（2）项目应实现的具体绩效目标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开展宗教界人士培训费用5万元，宗教工作干部外出参加学习、培训、考察、会议、对接工作等费用4万元，召开宗教工作会议等费用1万元，合计10万元。进一步提升我市宗教界人士综合素质，推进宗教团体、宗教活动场所规范化管理水平，提升宗教团体和宗教活动场所加强自身建设，积极引导宗教与社会主义社会相适应。</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（3）分析评价申报内容是否与实际相符，申报目标是否合理可行。</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项目分析评价均来源项目实际情况，与实际相符，目标合理可行。</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（二）项目资金申报及使用情况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1.项目资金申报及批复情况。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年初预算申请10万元，2021年年初预算批复10万元。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2.资金计划、到位及使用情况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（1）资金计划。项目计划2021年市本级拨付10万元，市级财政资金年初到位10万元。</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（2）资金到位。2021年年初预算下达项目资金10万元（其他民族事务支出2012399），年初资金到位率100%。</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使用。2021年该笔项目资金实际开展宗教界人士培训1次共计1万元，宗教工作干部外出参加学习、培训、考察、会议、对接工作等4.8万元，召开宗教工作会议7次共计1.2万元，合计6.96万元。分项数据与预算计划略有出入，主要是结合工作具体情况安排，大致与预算相符，然由于年底财政紧张，部分项目未能及时拨付。全年预算执行率为70%。</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3.项目财务管理情况。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单位财务管理制度健全，严格执行财务管理制度，账务处理及时，会计核算规范。</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（三）项目实施及管理情况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按照年度工作要点、工作计划，有序推进我市宗教工作落地，实时对经费使用情况进行监督管理，确保工作经费落到实处，取得实效。</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（四）项目绩效情况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1.项目完成情况。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2021年该笔项目资金实际开展宗教界人士培训1次共计1万元，宗教工作干部外出参加学习、培训、考察、会议、对接工作等4.8万元，召开宗教工作会议7次共计1.2万元，合计6.96万元。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2.项目效益情况。</w:t>
      </w:r>
    </w:p>
    <w:p>
      <w:pPr>
        <w:spacing w:line="576" w:lineRule="exact"/>
        <w:ind w:firstLine="640" w:firstLineChars="200"/>
        <w:rPr>
          <w:rFonts w:hint="eastAsia" w:ascii="仿宋_GB2312" w:hAnsi="仿宋_GB2312"/>
        </w:rPr>
      </w:pPr>
      <w:r>
        <w:rPr>
          <w:rFonts w:hint="eastAsia" w:ascii="仿宋_GB2312" w:eastAsia="仿宋_GB2312"/>
          <w:color w:val="333333"/>
          <w:sz w:val="32"/>
          <w:szCs w:val="32"/>
        </w:rPr>
        <w:t>为进一步提升了我市宗教界人士综合素质，推进宗教团体、宗教活动场所规范化管理水平，提升宗教团体和宗教活动场所加强自身建设，积极引导宗教与社会主义社会相适应。</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（五）评价结论及建议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640" w:firstLineChars="200"/>
        <w:contextualSpacing/>
        <w:jc w:val="left"/>
        <w:rPr>
          <w:rFonts w:hint="eastAsia" w:ascii="黑体" w:eastAsia="黑体"/>
          <w:color w:val="000000"/>
          <w:kern w:val="0"/>
          <w:sz w:val="32"/>
          <w:szCs w:val="32"/>
        </w:rPr>
      </w:pPr>
      <w:r>
        <w:rPr>
          <w:rFonts w:hint="eastAsia" w:ascii="黑体" w:eastAsia="黑体"/>
          <w:color w:val="000000"/>
          <w:kern w:val="0"/>
          <w:sz w:val="32"/>
          <w:szCs w:val="32"/>
        </w:rPr>
        <w:t>五、关工委工作经费</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（一）项目概况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1.项目基本情况。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（1）项目主管部门（单位）在该项目管理中的职能</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开展阅读赠书活动，加强职工子女学习和思想状况关心关爱，带动宗教界开展边远民族地区青少年扶助活动。</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（2）项目立项、资金申报的依据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根据关工委对2021年全市工作安排，对我委安排了1.2万元的相关工作经费，用于关心关爱青少年，以及“五老”相关经费支出等，该项目具有现实需求。</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（3）资金管理办法制定情况，资金支持具体项目的条件、范围与支持方式概况。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按照年度工作要点、工作计划，有序推进我委关心下一代工作，实时对经费使用情况进行监督管理，确保工作经费落到实处，取得实效。</w:t>
      </w:r>
    </w:p>
    <w:p>
      <w:pPr>
        <w:widowControl/>
        <w:snapToGrid w:val="0"/>
        <w:spacing w:line="353" w:lineRule="auto"/>
        <w:ind w:firstLine="640" w:firstLineChars="200"/>
        <w:contextualSpacing/>
        <w:jc w:val="left"/>
        <w:rPr>
          <w:rFonts w:hint="eastAsia" w:ascii="仿宋_GB2312" w:hAnsi="仿宋_GB2312"/>
        </w:rPr>
      </w:pPr>
      <w:r>
        <w:rPr>
          <w:rFonts w:hint="eastAsia" w:ascii="仿宋_GB2312" w:eastAsia="仿宋_GB2312"/>
          <w:color w:val="333333"/>
          <w:sz w:val="32"/>
          <w:szCs w:val="32"/>
        </w:rPr>
        <w:t>（4）资金分配的原则及考虑因素</w:t>
      </w:r>
      <w:r>
        <w:rPr>
          <w:rFonts w:hint="eastAsia" w:ascii="仿宋_GB2312" w:hAnsi="仿宋_GB2312"/>
        </w:rPr>
        <w:t>。</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按照年度工作要点、工作计划，有序推进我委关心下一代工作落地，进一步提升带动边远民族地区青少年爱读书、勤学习的好习惯，积极营造良好社会氛围，不断增强青少年民族自豪感。</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（1）项目主要内容。</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通过开展阅读赠书活动，加强职工子女学习和思想状况关心关爱，带动宗教界开展边远民族地区青少年扶助活动，进一步提升边远民族地区青少年爱读书、勤学习的好习惯，积极营造良好社会氛围，不断增强青少年民族自豪感。</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（2）项目应实现的具体绩效目标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向机关在职职工18岁及以下子女26人捐赠书籍，向谜塘村贫困户、边缘户18岁以下青少年82人捐赠书籍，合计1.2万元。积极营造良好社会氛围，不断增强青少年民族自豪感。</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（3）分析评价申报内容是否与实际相符，申报目标是否合理可行。</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项目分析评价均来源项目实际情况，与实际相符，目标合理可行。</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（二）项目资金申报及使用情况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1.项目资金申报及批复情况。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2021年初预算未申请该笔资金预算，年初预算未批复该笔资金，年中追加预算批复1.2万元。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2.资金计划、到位及使用情况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（1）资金计划。2021年初未申请该笔资金预算，年中计划市级财政资金追加预算到位1.2万元。</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（2）资金到位。2021年年中追加预算项目资金1.2万元（儿童福利2081001），资金到位率100%。</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（3）资金使用。向机关在职职工18岁及以下子女25人捐赠书籍0.25万元，民族地区中心学校捐赠过冬物资0.95万元，合计1.2万元。与预算相符。预算执行率100%。</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3.项目财务管理情况。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单位财务管理制度健全，严格执行财务管理制度，账务处理及时，会计核算规范。</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（三）项目实施及管理情况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按照年度工作要点、工作计划，有序推进我委关心下一代工作落地，实时对经费使用情况进行监督管理，确保工作经费落到实处，取得实效。</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（四）项目绩效情况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1.项目完成情况。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2021年该笔项目资金用于向机关在职职工18岁及以下子女25人捐赠书籍0.25万元，民族地区中心学校捐赠过冬物资0.95万元，合计1.2万元。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2.项目效益情况。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加强了职工子女学习和思想状况关心关爱，进一步提升了边远民族地区青少年爱读书、勤学习的好习惯，积极营造良好社会氛围，不断增强青少年民族自豪感。</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（五）评价结论及建议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640" w:firstLineChars="200"/>
        <w:contextualSpacing/>
        <w:jc w:val="left"/>
        <w:rPr>
          <w:rFonts w:hint="eastAsia" w:ascii="黑体" w:eastAsia="黑体"/>
          <w:color w:val="000000"/>
          <w:kern w:val="0"/>
          <w:sz w:val="32"/>
          <w:szCs w:val="32"/>
        </w:rPr>
      </w:pPr>
      <w:r>
        <w:rPr>
          <w:rFonts w:hint="eastAsia" w:ascii="黑体" w:eastAsia="黑体"/>
          <w:color w:val="000000"/>
          <w:kern w:val="0"/>
          <w:sz w:val="32"/>
          <w:szCs w:val="32"/>
        </w:rPr>
        <w:t>六、争取资金工作经费</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（一）项目概况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1.项目基本情况。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（1）项目主管部门（单位）在该项目管理中的职能</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认真做好省、市民族资金项目调查、筛选、规划、申报，争取省级民族资金到位。</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（2）项目立项、资金申报的依据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为认真做好省、市民族资金项目调查、筛选、规划、申报，争取省级民族资金到位，需相关资金支持，该项目具有现实需求。</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（3）资金管理办法制定情况，资金支持具体项目的条件、范围与支持方式概况。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按照年度工作要点、工作计划，有序推进我委争取上级资金工作，实时对经费使用情况进行监督管理，确保工作经费落到实处，取得实效。</w:t>
      </w:r>
    </w:p>
    <w:p>
      <w:pPr>
        <w:widowControl/>
        <w:spacing w:line="576" w:lineRule="exact"/>
        <w:ind w:firstLine="640" w:firstLineChars="200"/>
        <w:jc w:val="left"/>
        <w:rPr>
          <w:rFonts w:hint="eastAsia" w:ascii="仿宋_GB2312" w:hAnsi="仿宋_GB2312"/>
        </w:rPr>
      </w:pPr>
      <w:r>
        <w:rPr>
          <w:rFonts w:hint="eastAsia" w:ascii="仿宋_GB2312" w:eastAsia="仿宋_GB2312"/>
          <w:color w:val="333333"/>
          <w:sz w:val="32"/>
          <w:szCs w:val="32"/>
        </w:rPr>
        <w:t>（4）资金分配的原则及考虑因素。</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按照年度工作要点、工作计划，有序推进我委争取上级资金工作，围绕脱贫攻坚加快经济社会发展，落实民族地区支持政策，努力改善民族地区民生。</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2.项目绩效目标。</w:t>
      </w:r>
    </w:p>
    <w:p>
      <w:pPr>
        <w:autoSpaceDE w:val="0"/>
        <w:autoSpaceDN w:val="0"/>
        <w:adjustRightInd w:val="0"/>
        <w:spacing w:line="576" w:lineRule="exact"/>
        <w:ind w:firstLine="640" w:firstLineChars="200"/>
        <w:jc w:val="left"/>
        <w:rPr>
          <w:rFonts w:hint="eastAsia" w:ascii="仿宋_GB2312" w:hAnsi="仿宋_GB2312"/>
          <w:kern w:val="0"/>
          <w:szCs w:val="32"/>
        </w:rPr>
      </w:pPr>
      <w:r>
        <w:rPr>
          <w:rFonts w:hint="eastAsia" w:ascii="仿宋_GB2312" w:eastAsia="仿宋_GB2312"/>
          <w:color w:val="333333"/>
          <w:sz w:val="32"/>
          <w:szCs w:val="32"/>
        </w:rPr>
        <w:t>（1）项目主要内容。</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通过对省、市民族资金项目调查、筛选、规划、申报，争取上级资金到位，落实民族地区支持政策，努力改善民族地区民生。</w:t>
      </w:r>
    </w:p>
    <w:p>
      <w:pPr>
        <w:widowControl/>
        <w:spacing w:line="576" w:lineRule="exact"/>
        <w:ind w:firstLine="640" w:firstLineChars="200"/>
        <w:jc w:val="left"/>
        <w:rPr>
          <w:rFonts w:hint="eastAsia" w:ascii="仿宋_GB2312" w:hAnsi="仿宋_GB2312"/>
        </w:rPr>
      </w:pPr>
      <w:r>
        <w:rPr>
          <w:rFonts w:hint="eastAsia" w:ascii="仿宋_GB2312" w:eastAsia="仿宋_GB2312"/>
          <w:color w:val="333333"/>
          <w:sz w:val="32"/>
          <w:szCs w:val="32"/>
        </w:rPr>
        <w:t>（2）项目应实现的具体绩效目标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为认真做好省、市民族资金项目调查、筛选、规划、申报，争取省级民族资金到位1300万左右，计划差旅费、办公费共计5万元。以加快我市民族地区经济社会发展，落实民族地区支持政策，努力改善民族地区民生。</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（3）分析评价申报内容是否与实际相符，申报目标是否合理可行。</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项目分析评价均来源项目实际情况，与实际相符，目标合理可行。</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（二）项目资金申报及使用情况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1.项目资金申报及批复情况。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2021年初预算未申请该笔资金预算，年初预算未批复该笔资金，年中追加预算批复5万元。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2.资金计划、到位及使用情况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（1）资金计划。2021年初未申请该笔资金预算，年中计划市级财政资金追加预算到位5万元。</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（2）资金到位。2021年年中追加预算项目资金5万元（土地开发支出2120802），资金到位率100%。</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（3）资金使用。为认真做好省、市民族资金项目调查、筛选、规划、申报，争取省级民族资金到位2283万元，使用差旅费、办公费共计5万元。与预算相符。预算执行率100%。</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3.项目财务管理情况。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单位财务管理制度健全，严格执行财务管理制度，账务处理及时，会计核算规范。</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（三）项目实施及管理情况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按照年度工作要点、工作计划，有序推进我委争取上级资金工作，实时对经费使用情况进行监督管理，确保工作经费落到实处，取得实效。</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（四）项目绩效情况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1.项目完成情况。</w:t>
      </w:r>
    </w:p>
    <w:p>
      <w:pPr>
        <w:spacing w:line="576" w:lineRule="exact"/>
        <w:ind w:firstLine="640" w:firstLineChars="200"/>
        <w:rPr>
          <w:rFonts w:hint="eastAsia" w:ascii="仿宋_GB2312" w:hAnsi="仿宋_GB2312"/>
          <w:kern w:val="0"/>
          <w:szCs w:val="32"/>
        </w:rPr>
      </w:pPr>
      <w:r>
        <w:rPr>
          <w:rFonts w:hint="eastAsia" w:ascii="仿宋_GB2312" w:eastAsia="仿宋_GB2312"/>
          <w:color w:val="333333"/>
          <w:sz w:val="32"/>
          <w:szCs w:val="32"/>
        </w:rPr>
        <w:t>为认真做好省、市民族资金项目调查、筛选、规划、申报，争取省级民族资金到位2283万元，使用差旅费、办公费共计5万元。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2.项目效益情况。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进一步加快了我市民族地区经济社会发展，落实民族地区支持政策，改善民族地区民生。</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（五）评价结论及建议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640" w:firstLineChars="200"/>
        <w:contextualSpacing/>
        <w:jc w:val="left"/>
        <w:rPr>
          <w:rFonts w:hint="eastAsia" w:ascii="黑体" w:eastAsia="黑体"/>
          <w:color w:val="000000"/>
          <w:kern w:val="0"/>
          <w:sz w:val="32"/>
          <w:szCs w:val="32"/>
        </w:rPr>
      </w:pPr>
      <w:r>
        <w:rPr>
          <w:rFonts w:hint="eastAsia" w:ascii="黑体" w:eastAsia="黑体"/>
          <w:color w:val="000000"/>
          <w:kern w:val="0"/>
          <w:sz w:val="32"/>
          <w:szCs w:val="32"/>
        </w:rPr>
        <w:t>七、市级少数民族发展资金</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（一）项目概况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1.项目基本情况。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（1）项目主管部门（单位）在该项目管理中的职能</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维护民族宗教领域和谐稳定、提升民族宗教干部业务能力、少数民族群众自我发展能力，推进攀枝花市民族团结进步事业。</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（2）项目立项、资金申报的依据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攀财资农〔2021〕42号），结合市委、市政府对民族工作的总体要求和2021年民族工作重点，为维护我市民族宗教领域和谐稳定、提升民族宗教干部业务能力、少数民族群众自我发展能力，推进攀枝花市民族团结进步事业。</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（3）资金管理办法制定情况，资金支持具体项目的条件、范围与支持方式概况。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有序推进我委少数民族发展工作，具体分为五项：一是困难群众应急补助及慰问；民族宗教风险防范及矛盾调处，城市社区民族工作试点经费。二是少数民族重大节日补助经费。三是民族地区实用技术、劳动技能培训；民族宗教工作培训和民宗干部学校运行经费。四是两资项目管理、培训相关经费。五是民族团结进步创建经费。实时对经费使用情况进行监督管理，确保工作经费落到实处，取得实效。</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（4）资金分配的原则及考虑因素。</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攀财资农〔2021〕42号），结合市委、市政府对民族工作的总体要求和2021年民族工作重点，维护民族宗教领域和谐稳定、提升民族宗教干部业务能力、少数民族群众自我发展能力，推进攀枝花市民族团结进步事业。</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（1）项目主要内容。</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攀财资农〔2021〕42号），结合市委、市政府对民族工作的总体要求和2021年民族工作重点，主要分为：1.民族地区、城市社区特殊困难群众应急补助、慰问费，民族宗教领域风险防范及矛盾调处，城市社区民族工作创新试点等经费；2.民族地区实用技术、劳动技能培训，民族宗教工作培训和民族宗教干部学校运行经费；3.两资项目管理、培训费；4.民族团结进步创建经费；5.市民族宗教委电子政务内网机房建设项目经费。</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（2）项目应实现的具体绩效目标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一是开展民族地区、城市社区特殊困难群众应急补助及春节慰问40余人次；开展民族宗教领域风险防范排查及民族工作“十四五”规划编制，民族宗教领域矛盾纠纷调处，民族地区禁毒防艾；市级城市社区民族工作创新试点，城市少数民族流动人口服务管理、民族宗教工作宣传等经费20万元。二是开展民族地区重要产业和特色产业科技实用技术培训；组建科技成果转化专家创新团队示范基地；开展民宗系统干部和乡（镇）、村（社区）民族宗教工作干部培训80人次；民宗干部学校运行保障经费，临聘人员劳务费、保险费等43.5万元。三是资金用于两资项目公示、两资宣传、两资管理业务工作会议、项目绩效考评、项目指导调研、档案数字化、项目管理培训等5万元。四是举办一期全市民族团结进步创建工作培训班50人左右；开展民族团结进步创建工作和命名第四批全市民族团结进步示范单位等相关工作经费12万元。五是按照市电子政务内网建设相关要求和标准，实施电子政务内网机房建设、配备安装机房设备设施16.5万元。以加快我市民族地区经济社会发展，提升民族宗教干部业务能力、少数民族群众自我发展能力，推进攀枝花市民族团结进步事业。</w:t>
      </w:r>
    </w:p>
    <w:p>
      <w:pPr>
        <w:spacing w:line="576" w:lineRule="exact"/>
        <w:ind w:firstLine="640" w:firstLineChars="200"/>
        <w:rPr>
          <w:rFonts w:hint="eastAsia" w:ascii="仿宋_GB2312" w:hAnsi="仿宋_GB2312"/>
        </w:rPr>
      </w:pPr>
      <w:r>
        <w:rPr>
          <w:rFonts w:hint="eastAsia" w:ascii="仿宋_GB2312" w:eastAsia="仿宋_GB2312"/>
          <w:color w:val="333333"/>
          <w:sz w:val="32"/>
          <w:szCs w:val="32"/>
        </w:rPr>
        <w:t>（3）分析评价申报内容是否与实际相符，申报目标是否合理可行。</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项目分析评价均来源项目实际情况，与实际相符，目标合理可行。</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（二）项目资金申报及使用情况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1.项目资金申报及批复情况。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2021年初预算未申请该笔资金预算，年初预算未批复该笔资金，年中根据市财政、市两资办审核通过下发的（攀财资农〔2021〕42号）追加预算103万元，后通过调减指标划拨至其他单位6万元。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2.资金计划、到位及使用情况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（1）资金计划。2021年初未申请该笔资金预算，年中计划市级财政资金追加预算到位103万元，后调减指标划拨至其他单位6万元。</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（2）资金到位。2021年年中追加预算市本级资金97万元（其他农林水支出2139999），资金到位率100%。</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（3）资金使用。</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一是民族地区、城市社区特殊困难群众应急补助、慰问费；民族宗教领域风险防范及矛盾调处；城市社区民族工作创新试点等经费8.728万元。主要用于慰问谜塘村困难户24户，开展民族地区禁毒防艾、森林防火宣传，开展城市社区民族工作试点等经费支出。</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二是民族地区实用技术、劳动技能培训；民族宗教工作培训和民族宗教干部学校运行经费43.5万元。主要用于开展民族地区实用技术培训和乡村振兴驻村第一书记培训、民族宗教干部培训2000人次；建立科技成果转换专家创新团队示范基地2个；民宗干部学校运行保障等经费支出。</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三是两资项目管理、培训相关经费3.36万元。主要用于完成项目公示、宣传、会议、绩效考评、调研、培训等6余次，进行两资档案数字化等项目经费开支。</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四是民族团结进步创建经费11.64万元。主要用于铸牢中华民族共同体意识培训55人；开展全市民族团结进步示范单位评审工作等。</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五是市民族宗教委电子政务内网机房建设项目16.5万元。主要用于电子政务内网建设，包括电子政务内网机房建设、配备安装机房设备设施。</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分项数据与预算计划一致，主要是结合工作具体情况安排，然由于年底财政紧张，部分项目未能及时拨付。全年预算执行率为86%。</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3.项目财务管理情况。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单位财务管理制度健全，严格执行财务管理制度，账务处理及时，会计核算规范。</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（三）项目实施及管理情况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结合市委、市政府对民族工作的总体要求和2021年民族工作重点，有序推进我委少数民族发展工作，推进攀枝花市民族团结进步事业。实时对经费使用情况进行监督管理，确保工作经费落到实处，取得实效。</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 xml:space="preserve">（四）项目绩效情况 </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1.项目完成情况。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慰问谜塘村困难户24户，开展民族地区禁毒防艾、森林防火宣传，开展城市社区民族工作试点等经费支出8.728万元；开展民族地区实用技术培训和乡村振兴驻村第一书记培训、民族宗教干部培训2000人次，建立科技成果转换专家创新团队示范基地2个，民宗干部学校运行保障等经费支出43.5万元；完成项目公示、宣传、会议、绩效考评、调研、培训等6余次，进行两资档案数字化等项目经费开支3.36万元；铸牢中华民族共同体意识培训55人，开展全市民族团结进步示范单位评审工作等11.64万元；电子政务内网建设，包括电子政务内网机房建设、配备安装机房设备设施16.5万元。按照年度工作要点、工作计划，结合市委、市政府对民族工作的总体要求和2021年民族工作重点，基本完成了2021年市级少数民族发展金年初的绩效目标，只有部分项目然由于年底财政紧张，未能及时拨付。</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2.项目效益情况。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进一步维护了我市民族宗教领域和谐稳定、提升民族宗教干部业务能力、少数民族群众自我发展能力，推进攀枝花市民族团结进步事业。</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（五）评价结论及建议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640" w:firstLineChars="200"/>
        <w:contextualSpacing/>
        <w:jc w:val="left"/>
        <w:rPr>
          <w:rFonts w:hint="eastAsia" w:ascii="黑体" w:eastAsia="黑体"/>
          <w:color w:val="000000"/>
          <w:kern w:val="0"/>
          <w:sz w:val="32"/>
          <w:szCs w:val="32"/>
        </w:rPr>
      </w:pPr>
      <w:r>
        <w:rPr>
          <w:rFonts w:hint="eastAsia" w:ascii="黑体" w:eastAsia="黑体"/>
          <w:color w:val="000000"/>
          <w:kern w:val="0"/>
          <w:sz w:val="32"/>
          <w:szCs w:val="32"/>
        </w:rPr>
        <w:t>八、挂职干部补助经费</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（一）项目概况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1.项目基本情况。</w:t>
      </w:r>
    </w:p>
    <w:p>
      <w:pPr>
        <w:widowControl/>
        <w:spacing w:line="576" w:lineRule="exact"/>
        <w:ind w:firstLine="640" w:firstLineChars="200"/>
        <w:jc w:val="left"/>
        <w:rPr>
          <w:rFonts w:hint="eastAsia" w:ascii="仿宋_GB2312" w:hAnsi="仿宋_GB2312"/>
          <w:b/>
          <w:color w:val="333333"/>
          <w:szCs w:val="32"/>
        </w:rPr>
      </w:pPr>
      <w:r>
        <w:rPr>
          <w:rFonts w:hint="eastAsia" w:ascii="仿宋_GB2312" w:eastAsia="仿宋_GB2312"/>
          <w:color w:val="333333"/>
          <w:sz w:val="32"/>
          <w:szCs w:val="32"/>
        </w:rPr>
        <w:t>（1）项目主管部门（单位）在该项目管理中的职能</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做好第一书记、驻村挂职干部补助，完成2021年干部人才补助。</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（2）项目立项、资金申报的依据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根据（攀驻村办〔2017〕5号）、（攀组函〔2021〕68号），做好驻村挂职干部补助，完成2021年干部人才补助。</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（3）资金管理办法制定情况，资金支持具体项目的条件、范围与支持方式概况。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根据（攀驻村办〔2017〕5号）、（攀组函〔2021〕68号）、（攀财资行〔2021〕105号），按时发放驻村挂职干部补助。实时对经费使用情况进行监督管理，确保工作经费落到实处，取得实效。</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（4）资金分配的原则及考虑因素。</w:t>
      </w:r>
    </w:p>
    <w:p>
      <w:pPr>
        <w:autoSpaceDE w:val="0"/>
        <w:autoSpaceDN w:val="0"/>
        <w:adjustRightInd w:val="0"/>
        <w:spacing w:line="576" w:lineRule="exact"/>
        <w:ind w:firstLine="640" w:firstLineChars="200"/>
        <w:jc w:val="left"/>
        <w:rPr>
          <w:rFonts w:hint="eastAsia" w:ascii="仿宋_GB2312" w:hAnsi="仿宋_GB2312"/>
        </w:rPr>
      </w:pPr>
      <w:r>
        <w:rPr>
          <w:rFonts w:hint="eastAsia" w:ascii="仿宋_GB2312" w:eastAsia="仿宋_GB2312"/>
          <w:color w:val="333333"/>
          <w:sz w:val="32"/>
          <w:szCs w:val="32"/>
        </w:rPr>
        <w:t>根据（攀财资行〔2021〕105号）、（攀组函〔2021〕68号），进一步加强挂职干部管理服务工作，充分发挥干部人才在社会发展中的重要作用。</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（1）项目主要内容。</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做好驻村挂职干部补助，完成2021年干部人才补助。</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（2）项目应实现的具体绩效目标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驻村挂职干部1人生活补助1.245万元，进一步加强挂职干部管理服务工作，充分发挥干部人才在社会发展中的重要作用。</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（3）分析评价申报内容是否与实际相符，申报目标是否合理可行。</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项目分析评价均来源项目实际情况，与实际相符，目标合理可行。</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（二）项目资金申报及使用情况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1.项目资金申报及批复情况。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2021年初预算未申请该笔资金预算，年初预算未批复该笔资金，年中根据市财政、市组织部核查，追加了挂职补助1.245万元（攀财资行〔2021〕105号）。</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2.资金计划、到位及使用情况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（1）资金计划。2021年初未申请该笔资金预算，年中计划市级财政资金追加预算到位1.245万元。</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（2）资金到位。2021年年中追加预算市本级资金1.245万元（其他组织事务支出2013299），资金到位率100%。</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（3）资金使用。补助驻村挂职干部1人1.245万元。与预算相符。全年预算执行率100%。</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3.项目财务管理情况。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单位财务管理制度健全，严格执行财务管理制度，账务处理及时，会计核算规范。</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（三）项目实施及管理情况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根据（攀驻村办〔2017〕5号），按时发放驻村挂职干部补助。实时对经费使用情况进行监督管理，确保工作经费落到实处，取得实效。</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 xml:space="preserve">（四）项目绩效情况 </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1.项目完成情况。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做好驻村挂职干部补助，完成2021年干部人才补助1.245万元。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2.项目效益情况。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进一步加强挂职干部管理服务工作，充分发挥干部人才在社会发展中的重要作用。</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（五）评价结论及建议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640" w:firstLineChars="200"/>
        <w:contextualSpacing/>
        <w:jc w:val="left"/>
        <w:rPr>
          <w:rFonts w:hint="eastAsia" w:ascii="黑体" w:eastAsia="黑体"/>
          <w:color w:val="000000"/>
          <w:kern w:val="0"/>
          <w:sz w:val="32"/>
          <w:szCs w:val="32"/>
        </w:rPr>
      </w:pPr>
      <w:r>
        <w:rPr>
          <w:rFonts w:hint="eastAsia" w:ascii="黑体" w:eastAsia="黑体"/>
          <w:color w:val="000000"/>
          <w:kern w:val="0"/>
          <w:sz w:val="32"/>
          <w:szCs w:val="32"/>
        </w:rPr>
        <w:t>九、业务运行费</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（一）项目概况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1.项目基本情况。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（1）项目主管部门（单位）在该项目管理中的职能</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保障委机关及下属事业单位正常运转，确保民族宗教各项事务顺利开展。</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（2）项目立项、资金申报的依据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为保障委机关及下属事业单位正常运转，确保民族宗教各项事务顺利开展，促进民族、宗教事业发展，有申请该资金的需求。该项目具有现实需求。</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（3）资金管理办法制定情况，资金支持具体项目的条件、范围与支持方式概况。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按照年度工作要点、工作计划，有序推进我市民族宗教各项事务开展，保障委机关及下属事业单位正常运转。实时对经费使用情况进行监督管理，确保工作经费落到实处，取得实效。</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（4）资金分配的原则及考虑因素。</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按照年度工作要点、工作计划，结合市委、市政府对民族工作的总体要求和2021年民族工作重点，有序推进我市民族宗教各项事务开展。</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（1）项目主要内容。</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保障委机关及下属事业单位正常运转，确保民族宗教各项事务顺利开展。</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（2）项目应实现的具体绩效目标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召开业务会议费用1万元，资料整理费及办公费2万元，业务人员相关培训、学习等费用2万元，合计5万元。有序推进我市民族宗教各项事务开展，进一步提升我市民族宗教人士及民族宗教工作干部的自身素质和工作能力，促进民族、宗教事业发展。</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（3）分析评价申报内容是否与实际相符，申报目标是否合理可行。</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项目分析评价均来源项目实际情况，与实际相符，目标合理可行。</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（二）项目资金申报及使用情况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1.项目资金申报及批复情况。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年初预算申请5万元，2021年年初预算批复5万元。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2.资金计划、到位及使用情况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（1）资金计划。项目计划2021年市本级拨付5万元，市级财政资金年初到位5万元。</w:t>
      </w:r>
    </w:p>
    <w:p>
      <w:pPr>
        <w:widowControl/>
        <w:snapToGrid w:val="0"/>
        <w:spacing w:line="353" w:lineRule="auto"/>
        <w:ind w:firstLine="640" w:firstLineChars="200"/>
        <w:contextualSpacing/>
        <w:jc w:val="left"/>
        <w:rPr>
          <w:rFonts w:hint="eastAsia" w:ascii="仿宋_GB2312" w:hAnsi="仿宋_GB2312"/>
          <w:kern w:val="0"/>
          <w:szCs w:val="32"/>
        </w:rPr>
      </w:pPr>
      <w:r>
        <w:rPr>
          <w:rFonts w:hint="eastAsia" w:ascii="仿宋_GB2312" w:eastAsia="仿宋_GB2312"/>
          <w:color w:val="333333"/>
          <w:sz w:val="32"/>
          <w:szCs w:val="32"/>
        </w:rPr>
        <w:t>（2）资金到位。2021年年初预算下达项目资金5万元（其他民族事务支出2012399），年初资金到位率100%。</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使用。2021年该笔项目资金实际用于开展会议、培训等共计0.2万元，职工干部外出参加学习、培训、会议等1.7万元，资料整理费及办公费3.1万元，合计5万元。分项数据与预算计划略有出入，主要是结合工作具体情况安排，大致与预算相符。全年预算执行率为100%。</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3.项目财务管理情况。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单位财务管理制度健全，严格执行财务管理制度，账务处理及时，会计核算规范。</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（三）项目实施及管理情况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按照年度工作要点、工作计划，结合市委、市政府对民族工作的总体要求和2021年民族工作重点，有序推进我市民族宗教各项事务开展。实时对经费使用情况进行监督管理，确保工作经费落到实处，取得实效。</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（四）项目绩效情况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1.项目完成情况。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2021年该笔项目资金实际开展2021年该笔项目资金实际用于开展会议、培训等共计0.2万元，职工干部外出参加学习、培训、会议等1.7万元，资料整理费及办公费3.1万元，合计5万元。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2.项目效益情况。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有序推进我市民族宗教各项事务开展，进一步提升我市民族宗教人士及民族宗教工作干部的自身素质和工作能力，促进民族、宗教事业发展。</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（五）评价结论及建议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640" w:firstLineChars="200"/>
        <w:contextualSpacing/>
        <w:jc w:val="left"/>
        <w:rPr>
          <w:rFonts w:hint="eastAsia" w:ascii="黑体" w:eastAsia="黑体"/>
          <w:color w:val="000000"/>
          <w:kern w:val="0"/>
          <w:sz w:val="32"/>
          <w:szCs w:val="32"/>
        </w:rPr>
      </w:pPr>
      <w:r>
        <w:rPr>
          <w:rFonts w:hint="eastAsia" w:ascii="黑体" w:eastAsia="黑体"/>
          <w:color w:val="000000"/>
          <w:kern w:val="0"/>
          <w:sz w:val="32"/>
          <w:szCs w:val="32"/>
        </w:rPr>
        <w:t>十、省级民族地区开发资金（含上年结转）</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（一）项目概况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1.项目基本情况。</w:t>
      </w:r>
    </w:p>
    <w:p>
      <w:pPr>
        <w:widowControl/>
        <w:spacing w:line="576" w:lineRule="exact"/>
        <w:ind w:firstLine="420" w:firstLineChars="200"/>
        <w:jc w:val="left"/>
        <w:rPr>
          <w:rFonts w:hint="eastAsia" w:ascii="仿宋_GB2312" w:eastAsia="仿宋_GB2312"/>
          <w:color w:val="333333"/>
          <w:sz w:val="32"/>
          <w:szCs w:val="32"/>
        </w:rPr>
      </w:pPr>
      <w:r>
        <w:rPr>
          <w:rFonts w:hint="eastAsia" w:ascii="仿宋_GB2312" w:hAnsi="仿宋_GB2312"/>
          <w:color w:val="333333"/>
          <w:szCs w:val="32"/>
        </w:rPr>
        <w:t>（</w:t>
      </w:r>
      <w:r>
        <w:rPr>
          <w:rFonts w:hint="eastAsia" w:ascii="仿宋_GB2312" w:eastAsia="仿宋_GB2312"/>
          <w:color w:val="333333"/>
          <w:sz w:val="32"/>
          <w:szCs w:val="32"/>
        </w:rPr>
        <w:t>1）项目主管部门（单位）在该项目管理中的职能</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做好两资项目公示、两资业务工作会议、项目管理培训、两资宣传活动等工作。</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（2）项目立项、资金申报的依据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根据（川财预〔2021〕3号），做好两资项目公示、两资业务工作会议、项目管理培训、两资宣传活动等工作，实现两资项目经济社会效益最大化，提升两资管理人员业务能力。</w:t>
      </w:r>
    </w:p>
    <w:p>
      <w:pPr>
        <w:widowControl/>
        <w:spacing w:line="576" w:lineRule="exact"/>
        <w:ind w:firstLine="640" w:firstLineChars="200"/>
        <w:jc w:val="left"/>
        <w:rPr>
          <w:rFonts w:hint="eastAsia" w:ascii="仿宋_GB2312" w:hAnsi="仿宋_GB2312"/>
          <w:color w:val="000000"/>
          <w:kern w:val="0"/>
          <w:szCs w:val="32"/>
        </w:rPr>
      </w:pPr>
      <w:r>
        <w:rPr>
          <w:rFonts w:hint="eastAsia" w:ascii="仿宋_GB2312" w:eastAsia="仿宋_GB2312"/>
          <w:color w:val="333333"/>
          <w:sz w:val="32"/>
          <w:szCs w:val="32"/>
        </w:rPr>
        <w:t>（3）资金管理办法制定情况，资金支持具体项目的条件、范围与支持方式概况。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根据（川民开办〔2020〕7号）、（川财预〔2021〕3号），做好两资项目公示、两资业务工作会议、项目管理培训、两资宣传活动等工作。实时对经费使用情况进行监督管理，确保工作经费落到实处，取得实效。</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（4）资金分配的原则及考虑因素。</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根据（川民开办〔2020〕7号）、（川财预〔2021〕3号），并由市支援经济不发达地区发展资金管理小组办公室结合我市实际情况，按照年度工作要点、工作计划，有序推进我委少数民族发展工作。</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（1）项目主要内容。</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根据（川民开办〔2020〕7号）、（川财预〔2021〕3号），做好两资项目公示、两资业务工作会议、项目管理培训、两资宣传活动等工作，实现两资项目经济社会效益最大化，提升两资管理人员业务能力。</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（2）项目应实现的具体绩效目标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开展项目规划编制，项目公示公告，两资项目调研、检查、绩效评价，两资工作总结宣传，两资管理人员培训学习等工作，确保两资项目管理规范化、科学化，实现两资项目社会效益最大化，提升两资管理人员业务能力。</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（3）分析评价申报内容是否与实际相符，申报目标是否合理可行。</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项目分析评价均来源项目实际情况，与实际相符，目标合理可行。</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（二）项目资金申报及使用情况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1.项目资金申报及批复情况。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2021年初预算未申请该笔资金预算，年初预算未批复该笔资金，年中由市支援经济不发达地区发展资金管理小组办公室结合我市实际情况，追加分配了省级资金9万元（攀财资预〔2021〕6号）。</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2.资金计划、到位及使用情况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（1）资金计划。2021年初未申请该笔资金预算，年中计划市级财政资金追加预算到位9万元。</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（2）资金到位。2021年年中追加预算市本级资金9万元（其他民族事务支出2012399），资金到位率100%。</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使用。该笔资金主要用于开展两资管理业务培训、会议、调研、考评等7余次4.89万元；支付四十周年系列视频尾款1万元；开展两资管理资料印制等宣传工作2.5万元，合计8.39万元。分项数据与预算计划一致，主要是结合工作具体情况安排，然由于年底财政紧张，部分项目未能及时拨付。全年预算执行率为66%。</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3.项目财务管理情况。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单位财务管理制度健全，严格执行财务管理制度，账务处理及时，会计核算规范。</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（三）项目实施及管理情况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川民开办〔2020〕7号）、（川财预〔2021〕3号），做好两资项目公示、两资业务工作会议、项目管理培训、两资宣传活动等工作，实现两资项目经济社会效益最大化，提升两资管理人员业务能力，并实时对经费使用情况进行监督管理，确保工作经费落到实处，取得实效。</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 xml:space="preserve">（四）项目绩效情况 </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1.项目完成情况。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该笔资金主要用于开展两资管理业务培训、会议、调研、考评等7余次4.89万元；支付四十周年系列视频尾款1万元；开展两资管理资料印制等宣传工作2.5万元，合计8.39万元。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2.项目效益情况。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开展两资业务工作会议、项目管理培训、两资宣传活动等工作，确保了两资项目管理规范化、科学化，实现两资项目社会效益最大化，提升两资管理人员业务能力。</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（五）评价结论及建议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pacing w:line="576" w:lineRule="exact"/>
        <w:ind w:firstLine="420" w:firstLineChars="200"/>
        <w:jc w:val="left"/>
        <w:rPr>
          <w:rFonts w:hint="eastAsia" w:ascii="仿宋_GB2312" w:hAnsi="仿宋_GB2312"/>
          <w:color w:val="333333"/>
          <w:szCs w:val="32"/>
        </w:rPr>
      </w:pPr>
    </w:p>
    <w:p>
      <w:pPr>
        <w:widowControl/>
        <w:spacing w:line="576" w:lineRule="exact"/>
        <w:ind w:firstLine="640" w:firstLineChars="200"/>
        <w:jc w:val="left"/>
        <w:rPr>
          <w:rFonts w:hint="eastAsia" w:ascii="仿宋_GB2312" w:eastAsia="仿宋_GB2312"/>
          <w:color w:val="333333"/>
          <w:sz w:val="32"/>
          <w:szCs w:val="32"/>
        </w:rPr>
      </w:pP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 xml:space="preserve">                     攀枝花市民宗宗教事务委员会</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 xml:space="preserve">                             2022年4月8日</w:t>
      </w: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tbl>
      <w:tblPr>
        <w:tblStyle w:val="12"/>
        <w:tblW w:w="9900" w:type="dxa"/>
        <w:tblInd w:w="-5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867"/>
        <w:gridCol w:w="719"/>
        <w:gridCol w:w="1597"/>
        <w:gridCol w:w="1734"/>
        <w:gridCol w:w="1800"/>
        <w:gridCol w:w="1100"/>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900" w:type="dxa"/>
            <w:gridSpan w:val="8"/>
            <w:tcBorders>
              <w:top w:val="nil"/>
              <w:left w:val="nil"/>
              <w:bottom w:val="nil"/>
              <w:right w:val="nil"/>
            </w:tcBorders>
            <w:shd w:val="clear" w:color="auto" w:fill="auto"/>
            <w:noWrap/>
            <w:vAlign w:val="center"/>
          </w:tcPr>
          <w:p>
            <w:pPr>
              <w:pStyle w:val="3"/>
              <w:rPr>
                <w:rFonts w:hint="eastAsia" w:ascii="宋体" w:eastAsia="宋体" w:cs="宋体"/>
                <w:i w:val="0"/>
                <w:iCs w:val="0"/>
                <w:color w:val="000000"/>
                <w:szCs w:val="20"/>
                <w:u w:val="none"/>
              </w:rPr>
            </w:pPr>
            <w:bookmarkStart w:id="88" w:name="_Toc14363"/>
            <w:r>
              <w:rPr>
                <w:rFonts w:hint="eastAsia"/>
                <w:lang w:val="en-US" w:eastAsia="zh-CN"/>
              </w:rPr>
              <w:t>附件4</w:t>
            </w:r>
            <w:bookmarkEnd w:id="8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90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sz w:val="24"/>
                <w:szCs w:val="24"/>
                <w:u w:val="none"/>
              </w:rPr>
            </w:pPr>
            <w:r>
              <w:rPr>
                <w:rFonts w:hint="eastAsia" w:ascii="黑体" w:eastAsia="黑体" w:cs="宋体"/>
                <w:b/>
                <w:bCs w:val="0"/>
                <w:color w:val="000000"/>
                <w:kern w:val="0"/>
                <w:sz w:val="32"/>
                <w:szCs w:val="32"/>
                <w:lang w:val="en-US" w:eastAsia="zh-CN"/>
              </w:rPr>
              <w:t>专项（项目）资金绩效自评表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w:t>
            </w:r>
            <w:r>
              <w:rPr>
                <w:rStyle w:val="29"/>
                <w:rFonts w:eastAsia="宋体"/>
                <w:lang w:val="en-US" w:eastAsia="zh-CN"/>
              </w:rPr>
              <w:t>2021</w:t>
            </w:r>
            <w:r>
              <w:rPr>
                <w:rStyle w:val="30"/>
                <w:lang w:val="en-US" w:eastAsia="zh-CN"/>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50" w:type="dxa"/>
            <w:tcBorders>
              <w:top w:val="nil"/>
              <w:left w:val="nil"/>
              <w:bottom w:val="single" w:color="000000" w:sz="4" w:space="0"/>
              <w:right w:val="nil"/>
            </w:tcBorders>
            <w:shd w:val="clear" w:color="auto" w:fill="auto"/>
            <w:noWrap/>
            <w:vAlign w:val="center"/>
          </w:tcPr>
          <w:p>
            <w:pPr>
              <w:rPr>
                <w:rFonts w:hint="eastAsia" w:ascii="宋体" w:eastAsia="宋体" w:cs="宋体"/>
                <w:i w:val="0"/>
                <w:iCs w:val="0"/>
                <w:color w:val="000000"/>
                <w:sz w:val="20"/>
                <w:szCs w:val="20"/>
                <w:u w:val="none"/>
              </w:rPr>
            </w:pPr>
          </w:p>
        </w:tc>
        <w:tc>
          <w:tcPr>
            <w:tcW w:w="867" w:type="dxa"/>
            <w:tcBorders>
              <w:top w:val="nil"/>
              <w:left w:val="nil"/>
              <w:bottom w:val="single" w:color="000000" w:sz="4" w:space="0"/>
              <w:right w:val="nil"/>
            </w:tcBorders>
            <w:shd w:val="clear" w:color="auto" w:fill="auto"/>
            <w:noWrap/>
            <w:vAlign w:val="center"/>
          </w:tcPr>
          <w:p>
            <w:pPr>
              <w:rPr>
                <w:rFonts w:hint="eastAsia" w:ascii="宋体" w:eastAsia="宋体" w:cs="宋体"/>
                <w:i w:val="0"/>
                <w:iCs w:val="0"/>
                <w:color w:val="000000"/>
                <w:sz w:val="20"/>
                <w:szCs w:val="20"/>
                <w:u w:val="none"/>
              </w:rPr>
            </w:pPr>
          </w:p>
        </w:tc>
        <w:tc>
          <w:tcPr>
            <w:tcW w:w="719" w:type="dxa"/>
            <w:tcBorders>
              <w:top w:val="nil"/>
              <w:left w:val="nil"/>
              <w:bottom w:val="nil"/>
              <w:right w:val="nil"/>
            </w:tcBorders>
            <w:shd w:val="clear" w:color="auto" w:fill="auto"/>
            <w:noWrap/>
            <w:vAlign w:val="center"/>
          </w:tcPr>
          <w:p>
            <w:pPr>
              <w:rPr>
                <w:rFonts w:hint="eastAsia" w:ascii="宋体" w:eastAsia="宋体" w:cs="宋体"/>
                <w:i w:val="0"/>
                <w:iCs w:val="0"/>
                <w:color w:val="000000"/>
                <w:sz w:val="20"/>
                <w:szCs w:val="20"/>
                <w:u w:val="none"/>
              </w:rPr>
            </w:pPr>
          </w:p>
        </w:tc>
        <w:tc>
          <w:tcPr>
            <w:tcW w:w="1597" w:type="dxa"/>
            <w:tcBorders>
              <w:top w:val="nil"/>
              <w:left w:val="nil"/>
              <w:bottom w:val="nil"/>
              <w:right w:val="nil"/>
            </w:tcBorders>
            <w:shd w:val="clear" w:color="auto" w:fill="auto"/>
            <w:noWrap/>
            <w:vAlign w:val="center"/>
          </w:tcPr>
          <w:p>
            <w:pPr>
              <w:rPr>
                <w:rFonts w:hint="eastAsia" w:ascii="宋体" w:eastAsia="宋体" w:cs="宋体"/>
                <w:i w:val="0"/>
                <w:iCs w:val="0"/>
                <w:color w:val="000000"/>
                <w:sz w:val="20"/>
                <w:szCs w:val="20"/>
                <w:u w:val="none"/>
              </w:rPr>
            </w:pPr>
          </w:p>
        </w:tc>
        <w:tc>
          <w:tcPr>
            <w:tcW w:w="1734" w:type="dxa"/>
            <w:tcBorders>
              <w:top w:val="nil"/>
              <w:left w:val="nil"/>
              <w:bottom w:val="nil"/>
              <w:right w:val="nil"/>
            </w:tcBorders>
            <w:shd w:val="clear" w:color="auto" w:fill="auto"/>
            <w:noWrap/>
            <w:vAlign w:val="center"/>
          </w:tcPr>
          <w:p>
            <w:pPr>
              <w:rPr>
                <w:rFonts w:hint="eastAsia" w:ascii="宋体" w:eastAsia="宋体" w:cs="宋体"/>
                <w:i w:val="0"/>
                <w:iCs w:val="0"/>
                <w:color w:val="000000"/>
                <w:sz w:val="20"/>
                <w:szCs w:val="20"/>
                <w:u w:val="none"/>
              </w:rPr>
            </w:pPr>
          </w:p>
        </w:tc>
        <w:tc>
          <w:tcPr>
            <w:tcW w:w="1800" w:type="dxa"/>
            <w:tcBorders>
              <w:top w:val="nil"/>
              <w:left w:val="nil"/>
              <w:bottom w:val="nil"/>
              <w:right w:val="nil"/>
            </w:tcBorders>
            <w:shd w:val="clear" w:color="auto" w:fill="auto"/>
            <w:noWrap/>
            <w:vAlign w:val="center"/>
          </w:tcPr>
          <w:p>
            <w:pPr>
              <w:rPr>
                <w:rFonts w:hint="eastAsia" w:ascii="宋体" w:eastAsia="宋体" w:cs="宋体"/>
                <w:i w:val="0"/>
                <w:iCs w:val="0"/>
                <w:color w:val="000000"/>
                <w:sz w:val="20"/>
                <w:szCs w:val="20"/>
                <w:u w:val="none"/>
              </w:rPr>
            </w:pPr>
          </w:p>
        </w:tc>
        <w:tc>
          <w:tcPr>
            <w:tcW w:w="1100" w:type="dxa"/>
            <w:tcBorders>
              <w:top w:val="nil"/>
              <w:left w:val="nil"/>
              <w:bottom w:val="nil"/>
              <w:right w:val="nil"/>
            </w:tcBorders>
            <w:shd w:val="clear" w:color="auto" w:fill="auto"/>
            <w:noWrap/>
            <w:vAlign w:val="center"/>
          </w:tcPr>
          <w:p>
            <w:pPr>
              <w:rPr>
                <w:rFonts w:hint="eastAsia" w:ascii="宋体" w:eastAsia="宋体" w:cs="宋体"/>
                <w:i w:val="0"/>
                <w:iCs w:val="0"/>
                <w:color w:val="000000"/>
                <w:sz w:val="20"/>
                <w:szCs w:val="20"/>
                <w:u w:val="none"/>
              </w:rPr>
            </w:pPr>
          </w:p>
        </w:tc>
        <w:tc>
          <w:tcPr>
            <w:tcW w:w="1333" w:type="dxa"/>
            <w:tcBorders>
              <w:top w:val="nil"/>
              <w:left w:val="nil"/>
              <w:bottom w:val="nil"/>
              <w:right w:val="nil"/>
            </w:tcBorders>
            <w:shd w:val="clear" w:color="auto" w:fill="auto"/>
            <w:noWrap/>
            <w:vAlign w:val="center"/>
          </w:tcPr>
          <w:p>
            <w:pPr>
              <w:rPr>
                <w:rFonts w:hint="eastAsia" w:asci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专项（项目）名称</w:t>
            </w:r>
          </w:p>
        </w:tc>
        <w:tc>
          <w:tcPr>
            <w:tcW w:w="75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省级民族地区开发资金（含上年结转）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项目主管单位</w:t>
            </w:r>
          </w:p>
        </w:tc>
        <w:tc>
          <w:tcPr>
            <w:tcW w:w="75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攀枝花市民族宗教事务委员会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项目实施单位</w:t>
            </w:r>
          </w:p>
        </w:tc>
        <w:tc>
          <w:tcPr>
            <w:tcW w:w="75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攀枝花市民族宗教事务委员会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3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项目资金</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（万元）</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全年预算数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实际完成数</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3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年度资金总额：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12.62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8.39</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3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其中：上级财政资金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12.62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8.39</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3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本级财政资金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3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总</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体</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目</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标</w:t>
            </w:r>
          </w:p>
        </w:tc>
        <w:tc>
          <w:tcPr>
            <w:tcW w:w="31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年度设定目标</w:t>
            </w:r>
          </w:p>
        </w:tc>
        <w:tc>
          <w:tcPr>
            <w:tcW w:w="5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183"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widowControl/>
              <w:suppressLineNumbers w:val="0"/>
              <w:jc w:val="center"/>
              <w:textAlignment w:val="top"/>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两资项目公示、两资业务工作会议、项目管理培训、两资宣传活动等</w:t>
            </w:r>
          </w:p>
        </w:tc>
        <w:tc>
          <w:tcPr>
            <w:tcW w:w="5967" w:type="dxa"/>
            <w:gridSpan w:val="4"/>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widowControl/>
              <w:suppressLineNumbers w:val="0"/>
              <w:jc w:val="center"/>
              <w:textAlignment w:val="top"/>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开展两资管理人员培训、会议、绩效考评、调研等工作，支付两资设立四十周年系列视频尾款以及两资宣传等。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绩</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效</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指</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标</w:t>
            </w:r>
          </w:p>
        </w:tc>
        <w:tc>
          <w:tcPr>
            <w:tcW w:w="86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一级</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指标</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二级指标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三级指标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年度指标值</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实际完成数</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完成率（%）</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67"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项目完成</w:t>
            </w:r>
          </w:p>
        </w:tc>
        <w:tc>
          <w:tcPr>
            <w:tcW w:w="719"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数量指标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指标1：两资管理业务培训、会议、调研、考评等</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开展两资管理业务培训、会议、调研、考评等10次及以上。</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开展两资管理业务培训、会议、调研、考评等7余次。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61%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由于年底财政紧张，部分项目未能及时拨付，今后加强与财政沟通协调，使项目资金及时拨付到位。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67" w:type="dxa"/>
            <w:vMerge w:val="continue"/>
            <w:tcBorders>
              <w:top w:val="single" w:color="000000" w:sz="4" w:space="0"/>
              <w:left w:val="single" w:color="000000" w:sz="4" w:space="0"/>
              <w:bottom w:val="nil"/>
              <w:right w:val="single" w:color="000000" w:sz="4" w:space="0"/>
            </w:tcBorders>
            <w:shd w:val="clear" w:color="auto" w:fill="auto"/>
            <w:noWrap/>
            <w:vAlign w:val="center"/>
          </w:tcPr>
          <w:p/>
        </w:tc>
        <w:tc>
          <w:tcPr>
            <w:tcW w:w="719" w:type="dxa"/>
            <w:vMerge w:val="continue"/>
            <w:tcBorders>
              <w:top w:val="single" w:color="000000" w:sz="4" w:space="0"/>
              <w:left w:val="single" w:color="000000" w:sz="4" w:space="0"/>
              <w:bottom w:val="nil"/>
              <w:right w:val="single" w:color="000000" w:sz="4" w:space="0"/>
            </w:tcBorders>
            <w:shd w:val="clear" w:color="auto" w:fill="auto"/>
            <w:noWrap/>
            <w:vAlign w:val="center"/>
          </w:tc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指标2：四十周年系列视频</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完成四十周年系列视频尾款支付1次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完成四十周年系列视频尾款支付。</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加强项目开展进度的跟踪，发挥资金的使用效益，提高预算完成率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67" w:type="dxa"/>
            <w:vMerge w:val="continue"/>
            <w:tcBorders>
              <w:top w:val="single" w:color="000000" w:sz="4" w:space="0"/>
              <w:left w:val="single" w:color="000000" w:sz="4" w:space="0"/>
              <w:bottom w:val="nil"/>
              <w:right w:val="single" w:color="000000" w:sz="4" w:space="0"/>
            </w:tcBorders>
            <w:shd w:val="clear" w:color="auto" w:fill="auto"/>
            <w:noWrap/>
            <w:vAlign w:val="center"/>
          </w:tcPr>
          <w:p/>
        </w:tc>
        <w:tc>
          <w:tcPr>
            <w:tcW w:w="719" w:type="dxa"/>
            <w:vMerge w:val="continue"/>
            <w:tcBorders>
              <w:top w:val="single" w:color="000000" w:sz="4" w:space="0"/>
              <w:left w:val="single" w:color="000000" w:sz="4" w:space="0"/>
              <w:bottom w:val="nil"/>
              <w:right w:val="single" w:color="000000" w:sz="4" w:space="0"/>
            </w:tcBorders>
            <w:shd w:val="clear" w:color="auto" w:fill="auto"/>
            <w:noWrap/>
            <w:vAlign w:val="center"/>
          </w:tc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指标3：两资管理资料印制等宣传工作</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开展好两资管理资料印制等宣传工作，印发资料1万张以上。</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开展两资管理资料印制等宣传工作，优化民族专项资金投入导向。</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69%</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由于年底财政紧张，部分项目未能及时拨付，今后加强与财政沟通协调，使项目资金及时拨付到位。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67" w:type="dxa"/>
            <w:vMerge w:val="continue"/>
            <w:tcBorders>
              <w:top w:val="single" w:color="000000" w:sz="4" w:space="0"/>
              <w:left w:val="single" w:color="000000" w:sz="4" w:space="0"/>
              <w:bottom w:val="nil"/>
              <w:right w:val="single" w:color="000000" w:sz="4" w:space="0"/>
            </w:tcBorders>
            <w:shd w:val="clear" w:color="auto" w:fill="auto"/>
            <w:noWrap/>
            <w:vAlign w:val="center"/>
          </w:tcPr>
          <w:p/>
        </w:tc>
        <w:tc>
          <w:tcPr>
            <w:tcW w:w="71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质量指标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指标1：提高项目管理水平</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提高项目管理人员业务水平；确保两资项目发挥最大效益</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提高项目管理人员业务水平；确保两资项目发挥最大效益。</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加强项目开展进度的跟踪，发挥资金的使用效益，提高预算完成率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67" w:type="dxa"/>
            <w:vMerge w:val="continue"/>
            <w:tcBorders>
              <w:top w:val="single" w:color="000000" w:sz="4" w:space="0"/>
              <w:left w:val="single" w:color="000000" w:sz="4" w:space="0"/>
              <w:bottom w:val="nil"/>
              <w:right w:val="single" w:color="000000" w:sz="4" w:space="0"/>
            </w:tcBorders>
            <w:shd w:val="clear" w:color="auto" w:fill="auto"/>
            <w:noWrap/>
            <w:vAlign w:val="center"/>
          </w:tcPr>
          <w:p/>
        </w:tc>
        <w:tc>
          <w:tcPr>
            <w:tcW w:w="71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时效指标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指标1：按工作计划</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2021年全年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2021年完成</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66%</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由于年底财政紧张，部分项目未能及时拨付，今后加强与财政沟通协调，使项目资金及时拨付到位。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67" w:type="dxa"/>
            <w:vMerge w:val="continue"/>
            <w:tcBorders>
              <w:top w:val="single" w:color="000000" w:sz="4" w:space="0"/>
              <w:left w:val="single" w:color="000000" w:sz="4" w:space="0"/>
              <w:bottom w:val="nil"/>
              <w:right w:val="single" w:color="000000" w:sz="4" w:space="0"/>
            </w:tcBorders>
            <w:shd w:val="clear" w:color="auto" w:fill="auto"/>
            <w:noWrap/>
            <w:vAlign w:val="center"/>
          </w:tcPr>
          <w:p/>
        </w:tc>
        <w:tc>
          <w:tcPr>
            <w:tcW w:w="719"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成本指标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指标1：两资管理业务培训、会议、调研、考评等</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8万元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4.89万元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61%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由于年底财政紧张，部分项目未能及时拨付，今后加强与财政沟通协调，使项目资金及时拨付到位。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67" w:type="dxa"/>
            <w:vMerge w:val="continue"/>
            <w:tcBorders>
              <w:top w:val="single" w:color="000000" w:sz="4" w:space="0"/>
              <w:left w:val="single" w:color="000000" w:sz="4" w:space="0"/>
              <w:bottom w:val="nil"/>
              <w:right w:val="single" w:color="000000" w:sz="4" w:space="0"/>
            </w:tcBorders>
            <w:shd w:val="clear" w:color="auto" w:fill="auto"/>
            <w:noWrap/>
            <w:vAlign w:val="center"/>
          </w:tcPr>
          <w:p/>
        </w:tc>
        <w:tc>
          <w:tcPr>
            <w:tcW w:w="719" w:type="dxa"/>
            <w:vMerge w:val="continue"/>
            <w:tcBorders>
              <w:top w:val="single" w:color="000000" w:sz="4" w:space="0"/>
              <w:left w:val="single" w:color="000000" w:sz="4" w:space="0"/>
              <w:bottom w:val="nil"/>
              <w:right w:val="single" w:color="000000" w:sz="4" w:space="0"/>
            </w:tcBorders>
            <w:shd w:val="clear" w:color="auto" w:fill="auto"/>
            <w:noWrap/>
            <w:vAlign w:val="center"/>
          </w:tc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指标2：四十周年系列视频尾款</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1万元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1万元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加强项目开展进度的跟踪，发挥资金的使用效益，提高预算完成率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67" w:type="dxa"/>
            <w:vMerge w:val="continue"/>
            <w:tcBorders>
              <w:top w:val="single" w:color="000000" w:sz="4" w:space="0"/>
              <w:left w:val="single" w:color="000000" w:sz="4" w:space="0"/>
              <w:bottom w:val="nil"/>
              <w:right w:val="single" w:color="000000" w:sz="4" w:space="0"/>
            </w:tcBorders>
            <w:shd w:val="clear" w:color="auto" w:fill="auto"/>
            <w:noWrap/>
            <w:vAlign w:val="center"/>
          </w:tcPr>
          <w:p/>
        </w:tc>
        <w:tc>
          <w:tcPr>
            <w:tcW w:w="719" w:type="dxa"/>
            <w:vMerge w:val="continue"/>
            <w:tcBorders>
              <w:top w:val="single" w:color="000000" w:sz="4" w:space="0"/>
              <w:left w:val="single" w:color="000000" w:sz="4" w:space="0"/>
              <w:bottom w:val="nil"/>
              <w:right w:val="single" w:color="000000" w:sz="4" w:space="0"/>
            </w:tcBorders>
            <w:shd w:val="clear" w:color="auto" w:fill="auto"/>
            <w:noWrap/>
            <w:vAlign w:val="center"/>
          </w:tc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指标3：两资管理资料印制等宣传工作</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3</w:t>
            </w:r>
            <w:r>
              <w:rPr>
                <w:rStyle w:val="31"/>
                <w:lang w:val="en-US" w:eastAsia="zh-CN"/>
              </w:rPr>
              <w:t>.62万元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2.5万元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69%</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由于年底财政紧张，部分项目未能及时拨付，今后加强与财政沟通协调，使项目资金及时拨付到位。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6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项目效益</w:t>
            </w:r>
          </w:p>
        </w:tc>
        <w:tc>
          <w:tcPr>
            <w:tcW w:w="71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社会效益</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指标1：促进项目管理科学化，进一步规范两资管理工作</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100%-80%（含）</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100%-80%（含）</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加强项目开展进度的跟踪，发挥资金的使用效益，提高预算完成率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满意度指标</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满意度指标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指标1：两资管理工作业务骨干及群众</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基本满意及以上</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基本满意及以上</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加强项目开展进度的跟踪，发挥资金的使用效益，提高预算完成率</w:t>
            </w:r>
          </w:p>
        </w:tc>
      </w:tr>
    </w:tbl>
    <w:p>
      <w:pPr>
        <w:spacing w:line="600" w:lineRule="exact"/>
        <w:jc w:val="left"/>
        <w:outlineLvl w:val="0"/>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spacing w:line="600" w:lineRule="exact"/>
        <w:jc w:val="center"/>
        <w:outlineLvl w:val="0"/>
        <w:rPr>
          <w:rFonts w:ascii="黑体" w:eastAsia="黑体"/>
          <w:bCs/>
          <w:kern w:val="44"/>
          <w:sz w:val="44"/>
          <w:szCs w:val="44"/>
        </w:rPr>
      </w:pPr>
      <w:bookmarkStart w:id="89" w:name="_Toc11410"/>
      <w:r>
        <w:rPr>
          <w:rFonts w:hint="eastAsia" w:ascii="黑体" w:eastAsia="黑体"/>
          <w:color w:val="000000"/>
          <w:sz w:val="44"/>
          <w:szCs w:val="44"/>
        </w:rPr>
        <w:t>第</w:t>
      </w:r>
      <w:r>
        <w:rPr>
          <w:rStyle w:val="17"/>
          <w:rFonts w:hint="eastAsia" w:ascii="黑体" w:eastAsia="黑体"/>
          <w:b w:val="0"/>
        </w:rPr>
        <w:t>五部分 附表</w:t>
      </w:r>
      <w:bookmarkEnd w:id="87"/>
      <w:bookmarkEnd w:id="89"/>
    </w:p>
    <w:p>
      <w:pPr>
        <w:pStyle w:val="3"/>
        <w:rPr>
          <w:rFonts w:ascii="仿宋_GB2312" w:eastAsia="仿宋_GB2312" w:cs="仿宋_GB2312"/>
          <w:color w:val="000000"/>
          <w:sz w:val="30"/>
          <w:szCs w:val="30"/>
        </w:rPr>
      </w:pPr>
      <w:bookmarkStart w:id="90" w:name="_Toc3434"/>
      <w:r>
        <w:rPr>
          <w:rFonts w:hint="eastAsia" w:ascii="仿宋_GB2312" w:eastAsia="仿宋_GB2312" w:cs="仿宋_GB2312"/>
          <w:b w:val="0"/>
          <w:color w:val="000000"/>
          <w:sz w:val="30"/>
          <w:szCs w:val="30"/>
        </w:rPr>
        <w:t>一、收</w:t>
      </w:r>
      <w:r>
        <w:rPr>
          <w:rStyle w:val="18"/>
          <w:rFonts w:hint="eastAsia" w:ascii="仿宋_GB2312" w:eastAsia="仿宋_GB2312" w:cs="仿宋_GB2312"/>
          <w:b w:val="0"/>
          <w:bCs w:val="0"/>
          <w:sz w:val="30"/>
          <w:szCs w:val="30"/>
        </w:rPr>
        <w:t>入支出决算总表</w:t>
      </w:r>
      <w:bookmarkEnd w:id="90"/>
    </w:p>
    <w:p>
      <w:pPr>
        <w:pStyle w:val="3"/>
        <w:rPr>
          <w:rFonts w:ascii="仿宋_GB2312" w:eastAsia="仿宋_GB2312" w:cs="仿宋_GB2312"/>
          <w:color w:val="000000"/>
          <w:sz w:val="30"/>
          <w:szCs w:val="30"/>
        </w:rPr>
      </w:pPr>
      <w:bookmarkStart w:id="91" w:name="_Toc20313"/>
      <w:r>
        <w:rPr>
          <w:rFonts w:hint="eastAsia" w:ascii="仿宋_GB2312" w:eastAsia="仿宋_GB2312" w:cs="仿宋_GB2312"/>
          <w:b w:val="0"/>
          <w:color w:val="000000"/>
          <w:sz w:val="30"/>
          <w:szCs w:val="30"/>
        </w:rPr>
        <w:t>二、收</w:t>
      </w:r>
      <w:r>
        <w:rPr>
          <w:rStyle w:val="18"/>
          <w:rFonts w:hint="eastAsia" w:ascii="仿宋_GB2312" w:eastAsia="仿宋_GB2312" w:cs="仿宋_GB2312"/>
          <w:b w:val="0"/>
          <w:bCs w:val="0"/>
          <w:sz w:val="30"/>
          <w:szCs w:val="30"/>
        </w:rPr>
        <w:t>入决算表</w:t>
      </w:r>
      <w:bookmarkEnd w:id="91"/>
    </w:p>
    <w:p>
      <w:pPr>
        <w:pStyle w:val="3"/>
        <w:rPr>
          <w:rFonts w:ascii="仿宋_GB2312" w:eastAsia="仿宋_GB2312" w:cs="仿宋_GB2312"/>
          <w:color w:val="000000"/>
          <w:sz w:val="30"/>
          <w:szCs w:val="30"/>
        </w:rPr>
      </w:pPr>
      <w:bookmarkStart w:id="92" w:name="_Toc16026"/>
      <w:r>
        <w:rPr>
          <w:rStyle w:val="18"/>
          <w:rFonts w:hint="eastAsia" w:ascii="仿宋_GB2312" w:eastAsia="仿宋_GB2312" w:cs="仿宋_GB2312"/>
          <w:b w:val="0"/>
          <w:bCs w:val="0"/>
          <w:sz w:val="30"/>
          <w:szCs w:val="30"/>
        </w:rPr>
        <w:t>三、</w:t>
      </w:r>
      <w:r>
        <w:rPr>
          <w:rFonts w:hint="eastAsia" w:ascii="仿宋_GB2312" w:eastAsia="仿宋_GB2312" w:cs="仿宋_GB2312"/>
          <w:b w:val="0"/>
          <w:color w:val="000000"/>
          <w:sz w:val="30"/>
          <w:szCs w:val="30"/>
        </w:rPr>
        <w:t>支</w:t>
      </w:r>
      <w:r>
        <w:rPr>
          <w:rStyle w:val="18"/>
          <w:rFonts w:hint="eastAsia" w:ascii="仿宋_GB2312" w:eastAsia="仿宋_GB2312" w:cs="仿宋_GB2312"/>
          <w:b w:val="0"/>
          <w:bCs w:val="0"/>
          <w:sz w:val="30"/>
          <w:szCs w:val="30"/>
        </w:rPr>
        <w:t>出决算表</w:t>
      </w:r>
      <w:bookmarkEnd w:id="92"/>
    </w:p>
    <w:p>
      <w:pPr>
        <w:pStyle w:val="3"/>
        <w:rPr>
          <w:rFonts w:ascii="仿宋_GB2312" w:eastAsia="仿宋_GB2312" w:cs="仿宋_GB2312"/>
          <w:b w:val="0"/>
          <w:color w:val="000000"/>
          <w:sz w:val="30"/>
          <w:szCs w:val="30"/>
        </w:rPr>
      </w:pPr>
      <w:bookmarkStart w:id="93" w:name="_Toc27228"/>
      <w:r>
        <w:rPr>
          <w:rStyle w:val="18"/>
          <w:rFonts w:hint="eastAsia" w:ascii="仿宋_GB2312" w:eastAsia="仿宋_GB2312" w:cs="仿宋_GB2312"/>
          <w:b w:val="0"/>
          <w:bCs w:val="0"/>
          <w:sz w:val="30"/>
          <w:szCs w:val="30"/>
        </w:rPr>
        <w:t>四、</w:t>
      </w:r>
      <w:r>
        <w:rPr>
          <w:rFonts w:hint="eastAsia" w:ascii="仿宋_GB2312" w:eastAsia="仿宋_GB2312" w:cs="仿宋_GB2312"/>
          <w:b w:val="0"/>
          <w:color w:val="000000"/>
          <w:sz w:val="30"/>
          <w:szCs w:val="30"/>
        </w:rPr>
        <w:t>财</w:t>
      </w:r>
      <w:r>
        <w:rPr>
          <w:rStyle w:val="18"/>
          <w:rFonts w:hint="eastAsia" w:ascii="仿宋_GB2312" w:eastAsia="仿宋_GB2312" w:cs="仿宋_GB2312"/>
          <w:b w:val="0"/>
          <w:bCs w:val="0"/>
          <w:sz w:val="30"/>
          <w:szCs w:val="30"/>
        </w:rPr>
        <w:t>政拨款收入支出决算总表</w:t>
      </w:r>
      <w:bookmarkEnd w:id="93"/>
    </w:p>
    <w:p>
      <w:pPr>
        <w:pStyle w:val="3"/>
        <w:rPr>
          <w:rFonts w:ascii="仿宋_GB2312" w:eastAsia="仿宋_GB2312" w:cs="仿宋_GB2312"/>
          <w:color w:val="000000"/>
          <w:sz w:val="30"/>
          <w:szCs w:val="30"/>
        </w:rPr>
      </w:pPr>
      <w:bookmarkStart w:id="94" w:name="_Toc28791"/>
      <w:r>
        <w:rPr>
          <w:rStyle w:val="18"/>
          <w:rFonts w:hint="eastAsia" w:ascii="仿宋_GB2312" w:eastAsia="仿宋_GB2312" w:cs="仿宋_GB2312"/>
          <w:b w:val="0"/>
          <w:bCs w:val="0"/>
          <w:sz w:val="30"/>
          <w:szCs w:val="30"/>
        </w:rPr>
        <w:t>五、</w:t>
      </w:r>
      <w:r>
        <w:rPr>
          <w:rFonts w:hint="eastAsia" w:ascii="仿宋_GB2312" w:eastAsia="仿宋_GB2312" w:cs="仿宋_GB2312"/>
          <w:b w:val="0"/>
          <w:color w:val="000000"/>
          <w:sz w:val="30"/>
          <w:szCs w:val="30"/>
        </w:rPr>
        <w:t>财</w:t>
      </w:r>
      <w:r>
        <w:rPr>
          <w:rStyle w:val="18"/>
          <w:rFonts w:hint="eastAsia" w:ascii="仿宋_GB2312" w:eastAsia="仿宋_GB2312" w:cs="仿宋_GB2312"/>
          <w:b w:val="0"/>
          <w:bCs w:val="0"/>
          <w:sz w:val="30"/>
          <w:szCs w:val="30"/>
        </w:rPr>
        <w:t>政拨款支出决算明细表</w:t>
      </w:r>
      <w:bookmarkEnd w:id="94"/>
    </w:p>
    <w:p>
      <w:pPr>
        <w:pStyle w:val="3"/>
        <w:rPr>
          <w:rFonts w:ascii="仿宋_GB2312" w:eastAsia="仿宋_GB2312" w:cs="仿宋_GB2312"/>
          <w:color w:val="000000"/>
          <w:sz w:val="30"/>
          <w:szCs w:val="30"/>
        </w:rPr>
      </w:pPr>
      <w:bookmarkStart w:id="95" w:name="_Toc8242"/>
      <w:r>
        <w:rPr>
          <w:rStyle w:val="18"/>
          <w:rFonts w:hint="eastAsia" w:ascii="仿宋_GB2312" w:eastAsia="仿宋_GB2312" w:cs="仿宋_GB2312"/>
          <w:b w:val="0"/>
          <w:bCs w:val="0"/>
          <w:sz w:val="30"/>
          <w:szCs w:val="30"/>
        </w:rPr>
        <w:t>六、</w:t>
      </w:r>
      <w:r>
        <w:rPr>
          <w:rFonts w:hint="eastAsia" w:ascii="仿宋_GB2312" w:eastAsia="仿宋_GB2312" w:cs="仿宋_GB2312"/>
          <w:b w:val="0"/>
          <w:color w:val="000000"/>
          <w:sz w:val="30"/>
          <w:szCs w:val="30"/>
        </w:rPr>
        <w:t>一</w:t>
      </w:r>
      <w:r>
        <w:rPr>
          <w:rStyle w:val="18"/>
          <w:rFonts w:hint="eastAsia" w:ascii="仿宋_GB2312" w:eastAsia="仿宋_GB2312" w:cs="仿宋_GB2312"/>
          <w:b w:val="0"/>
          <w:bCs w:val="0"/>
          <w:sz w:val="30"/>
          <w:szCs w:val="30"/>
        </w:rPr>
        <w:t>般公共预算财政拨款支出决算表</w:t>
      </w:r>
      <w:bookmarkEnd w:id="95"/>
    </w:p>
    <w:p>
      <w:pPr>
        <w:pStyle w:val="3"/>
        <w:rPr>
          <w:rFonts w:ascii="仿宋_GB2312" w:eastAsia="仿宋_GB2312" w:cs="仿宋_GB2312"/>
          <w:color w:val="000000"/>
          <w:sz w:val="30"/>
          <w:szCs w:val="30"/>
        </w:rPr>
      </w:pPr>
      <w:bookmarkStart w:id="96" w:name="_Toc28752"/>
      <w:r>
        <w:rPr>
          <w:rStyle w:val="18"/>
          <w:rFonts w:hint="eastAsia" w:ascii="仿宋_GB2312" w:eastAsia="仿宋_GB2312" w:cs="仿宋_GB2312"/>
          <w:b w:val="0"/>
          <w:bCs w:val="0"/>
          <w:sz w:val="30"/>
          <w:szCs w:val="30"/>
        </w:rPr>
        <w:t>七、</w:t>
      </w:r>
      <w:r>
        <w:rPr>
          <w:rFonts w:hint="eastAsia" w:ascii="仿宋_GB2312" w:eastAsia="仿宋_GB2312" w:cs="仿宋_GB2312"/>
          <w:b w:val="0"/>
          <w:color w:val="000000"/>
          <w:sz w:val="30"/>
          <w:szCs w:val="30"/>
        </w:rPr>
        <w:t>一</w:t>
      </w:r>
      <w:r>
        <w:rPr>
          <w:rStyle w:val="18"/>
          <w:rFonts w:hint="eastAsia" w:ascii="仿宋_GB2312" w:eastAsia="仿宋_GB2312" w:cs="仿宋_GB2312"/>
          <w:b w:val="0"/>
          <w:bCs w:val="0"/>
          <w:sz w:val="30"/>
          <w:szCs w:val="30"/>
        </w:rPr>
        <w:t>般公共预算财政拨款支出决算明细表</w:t>
      </w:r>
      <w:bookmarkEnd w:id="96"/>
    </w:p>
    <w:p>
      <w:pPr>
        <w:pStyle w:val="3"/>
        <w:rPr>
          <w:rFonts w:ascii="仿宋_GB2312" w:eastAsia="仿宋_GB2312" w:cs="仿宋_GB2312"/>
          <w:color w:val="000000"/>
          <w:sz w:val="30"/>
          <w:szCs w:val="30"/>
        </w:rPr>
      </w:pPr>
      <w:bookmarkStart w:id="97" w:name="_Toc12725"/>
      <w:r>
        <w:rPr>
          <w:rStyle w:val="18"/>
          <w:rFonts w:hint="eastAsia" w:ascii="仿宋_GB2312" w:eastAsia="仿宋_GB2312" w:cs="仿宋_GB2312"/>
          <w:b w:val="0"/>
          <w:bCs w:val="0"/>
          <w:sz w:val="30"/>
          <w:szCs w:val="30"/>
        </w:rPr>
        <w:t>八、</w:t>
      </w:r>
      <w:r>
        <w:rPr>
          <w:rFonts w:hint="eastAsia" w:ascii="仿宋_GB2312" w:eastAsia="仿宋_GB2312" w:cs="仿宋_GB2312"/>
          <w:b w:val="0"/>
          <w:color w:val="000000"/>
          <w:sz w:val="30"/>
          <w:szCs w:val="30"/>
        </w:rPr>
        <w:t>一</w:t>
      </w:r>
      <w:r>
        <w:rPr>
          <w:rStyle w:val="18"/>
          <w:rFonts w:hint="eastAsia" w:ascii="仿宋_GB2312" w:eastAsia="仿宋_GB2312" w:cs="仿宋_GB2312"/>
          <w:b w:val="0"/>
          <w:bCs w:val="0"/>
          <w:sz w:val="30"/>
          <w:szCs w:val="30"/>
        </w:rPr>
        <w:t>般公共预算财政拨款基本支出决算表</w:t>
      </w:r>
      <w:bookmarkEnd w:id="97"/>
    </w:p>
    <w:p>
      <w:pPr>
        <w:pStyle w:val="3"/>
        <w:rPr>
          <w:rFonts w:ascii="仿宋_GB2312" w:eastAsia="仿宋_GB2312" w:cs="仿宋_GB2312"/>
          <w:color w:val="000000"/>
          <w:sz w:val="30"/>
          <w:szCs w:val="30"/>
        </w:rPr>
      </w:pPr>
      <w:bookmarkStart w:id="98" w:name="_Toc10551"/>
      <w:r>
        <w:rPr>
          <w:rStyle w:val="18"/>
          <w:rFonts w:hint="eastAsia" w:ascii="仿宋_GB2312" w:eastAsia="仿宋_GB2312" w:cs="仿宋_GB2312"/>
          <w:b w:val="0"/>
          <w:bCs w:val="0"/>
          <w:sz w:val="30"/>
          <w:szCs w:val="30"/>
        </w:rPr>
        <w:t>九、</w:t>
      </w:r>
      <w:r>
        <w:rPr>
          <w:rFonts w:hint="eastAsia" w:ascii="仿宋_GB2312" w:eastAsia="仿宋_GB2312" w:cs="仿宋_GB2312"/>
          <w:b w:val="0"/>
          <w:color w:val="000000"/>
          <w:sz w:val="30"/>
          <w:szCs w:val="30"/>
        </w:rPr>
        <w:t>一</w:t>
      </w:r>
      <w:r>
        <w:rPr>
          <w:rStyle w:val="18"/>
          <w:rFonts w:hint="eastAsia" w:ascii="仿宋_GB2312" w:eastAsia="仿宋_GB2312" w:cs="仿宋_GB2312"/>
          <w:b w:val="0"/>
          <w:bCs w:val="0"/>
          <w:sz w:val="30"/>
          <w:szCs w:val="30"/>
        </w:rPr>
        <w:t>般公共预算财政拨款项目支出决算表</w:t>
      </w:r>
      <w:bookmarkEnd w:id="98"/>
    </w:p>
    <w:p>
      <w:pPr>
        <w:pStyle w:val="3"/>
        <w:rPr>
          <w:rFonts w:ascii="仿宋_GB2312" w:eastAsia="仿宋_GB2312" w:cs="仿宋_GB2312"/>
          <w:color w:val="000000"/>
          <w:sz w:val="30"/>
          <w:szCs w:val="30"/>
        </w:rPr>
      </w:pPr>
      <w:bookmarkStart w:id="99" w:name="_Toc23757"/>
      <w:r>
        <w:rPr>
          <w:rStyle w:val="18"/>
          <w:rFonts w:hint="eastAsia" w:ascii="仿宋_GB2312" w:eastAsia="仿宋_GB2312" w:cs="仿宋_GB2312"/>
          <w:b w:val="0"/>
          <w:bCs w:val="0"/>
          <w:sz w:val="30"/>
          <w:szCs w:val="30"/>
        </w:rPr>
        <w:t>十、</w:t>
      </w:r>
      <w:r>
        <w:rPr>
          <w:rFonts w:hint="eastAsia" w:ascii="仿宋_GB2312" w:eastAsia="仿宋_GB2312" w:cs="仿宋_GB2312"/>
          <w:b w:val="0"/>
          <w:color w:val="000000"/>
          <w:sz w:val="30"/>
          <w:szCs w:val="30"/>
        </w:rPr>
        <w:t>一</w:t>
      </w:r>
      <w:r>
        <w:rPr>
          <w:rStyle w:val="18"/>
          <w:rFonts w:hint="eastAsia" w:ascii="仿宋_GB2312" w:eastAsia="仿宋_GB2312" w:cs="仿宋_GB2312"/>
          <w:b w:val="0"/>
          <w:bCs w:val="0"/>
          <w:sz w:val="30"/>
          <w:szCs w:val="30"/>
        </w:rPr>
        <w:t>般公共预算财政拨款“三公”经费支出决算表</w:t>
      </w:r>
      <w:bookmarkEnd w:id="99"/>
    </w:p>
    <w:p>
      <w:pPr>
        <w:pStyle w:val="3"/>
        <w:rPr>
          <w:rFonts w:ascii="仿宋_GB2312" w:eastAsia="仿宋_GB2312" w:cs="仿宋_GB2312"/>
          <w:color w:val="000000"/>
          <w:sz w:val="30"/>
          <w:szCs w:val="30"/>
        </w:rPr>
      </w:pPr>
      <w:bookmarkStart w:id="100" w:name="_Toc19497"/>
      <w:r>
        <w:rPr>
          <w:rStyle w:val="18"/>
          <w:rFonts w:hint="eastAsia" w:ascii="仿宋_GB2312" w:eastAsia="仿宋_GB2312" w:cs="仿宋_GB2312"/>
          <w:b w:val="0"/>
          <w:bCs w:val="0"/>
          <w:sz w:val="30"/>
          <w:szCs w:val="30"/>
        </w:rPr>
        <w:t>十一、</w:t>
      </w:r>
      <w:r>
        <w:rPr>
          <w:rFonts w:hint="eastAsia" w:ascii="仿宋_GB2312" w:eastAsia="仿宋_GB2312" w:cs="仿宋_GB2312"/>
          <w:b w:val="0"/>
          <w:color w:val="000000"/>
          <w:sz w:val="30"/>
          <w:szCs w:val="30"/>
        </w:rPr>
        <w:t>政</w:t>
      </w:r>
      <w:r>
        <w:rPr>
          <w:rStyle w:val="18"/>
          <w:rFonts w:hint="eastAsia" w:ascii="仿宋_GB2312" w:eastAsia="仿宋_GB2312" w:cs="仿宋_GB2312"/>
          <w:b w:val="0"/>
          <w:bCs w:val="0"/>
          <w:sz w:val="30"/>
          <w:szCs w:val="30"/>
        </w:rPr>
        <w:t>府性基金预算财政拨款收入支出决算表</w:t>
      </w:r>
      <w:bookmarkEnd w:id="100"/>
    </w:p>
    <w:p>
      <w:pPr>
        <w:pStyle w:val="3"/>
        <w:rPr>
          <w:rFonts w:ascii="仿宋_GB2312" w:eastAsia="仿宋_GB2312" w:cs="仿宋_GB2312"/>
          <w:b w:val="0"/>
          <w:bCs w:val="0"/>
          <w:sz w:val="30"/>
          <w:szCs w:val="30"/>
        </w:rPr>
      </w:pPr>
      <w:bookmarkStart w:id="101" w:name="_Toc5741"/>
      <w:r>
        <w:rPr>
          <w:rStyle w:val="18"/>
          <w:rFonts w:hint="eastAsia" w:ascii="仿宋_GB2312" w:eastAsia="仿宋_GB2312" w:cs="仿宋_GB2312"/>
          <w:b w:val="0"/>
          <w:bCs w:val="0"/>
          <w:sz w:val="30"/>
          <w:szCs w:val="30"/>
        </w:rPr>
        <w:t>十二、</w:t>
      </w:r>
      <w:r>
        <w:rPr>
          <w:rFonts w:hint="eastAsia" w:ascii="仿宋_GB2312" w:eastAsia="仿宋_GB2312" w:cs="仿宋_GB2312"/>
          <w:b w:val="0"/>
          <w:color w:val="000000"/>
          <w:sz w:val="30"/>
          <w:szCs w:val="30"/>
        </w:rPr>
        <w:t>政</w:t>
      </w:r>
      <w:r>
        <w:rPr>
          <w:rStyle w:val="18"/>
          <w:rFonts w:hint="eastAsia" w:ascii="仿宋_GB2312" w:eastAsia="仿宋_GB2312" w:cs="仿宋_GB2312"/>
          <w:b w:val="0"/>
          <w:bCs w:val="0"/>
          <w:sz w:val="30"/>
          <w:szCs w:val="30"/>
        </w:rPr>
        <w:t>府性基金预算财政拨款“三公”经费支出决算表</w:t>
      </w:r>
      <w:r>
        <w:rPr>
          <w:rFonts w:hint="eastAsia" w:ascii="仿宋_GB2312" w:eastAsia="仿宋_GB2312" w:cs="仿宋_GB2312"/>
          <w:b w:val="0"/>
          <w:color w:val="000000"/>
          <w:sz w:val="30"/>
          <w:szCs w:val="30"/>
        </w:rPr>
        <w:t>（此表无数据）</w:t>
      </w:r>
      <w:bookmarkEnd w:id="101"/>
    </w:p>
    <w:p>
      <w:pPr>
        <w:pStyle w:val="3"/>
        <w:rPr>
          <w:rStyle w:val="18"/>
          <w:rFonts w:ascii="仿宋_GB2312" w:eastAsia="仿宋_GB2312" w:cs="仿宋_GB2312"/>
          <w:b w:val="0"/>
          <w:bCs w:val="0"/>
          <w:sz w:val="30"/>
          <w:szCs w:val="30"/>
        </w:rPr>
      </w:pPr>
      <w:bookmarkStart w:id="102" w:name="_Toc2701"/>
      <w:r>
        <w:rPr>
          <w:rStyle w:val="18"/>
          <w:rFonts w:hint="eastAsia" w:ascii="仿宋_GB2312" w:eastAsia="仿宋_GB2312" w:cs="仿宋_GB2312"/>
          <w:b w:val="0"/>
          <w:bCs w:val="0"/>
          <w:sz w:val="30"/>
          <w:szCs w:val="30"/>
        </w:rPr>
        <w:t>十三、</w:t>
      </w:r>
      <w:r>
        <w:rPr>
          <w:rFonts w:hint="eastAsia" w:ascii="仿宋_GB2312" w:eastAsia="仿宋_GB2312" w:cs="仿宋_GB2312"/>
          <w:b w:val="0"/>
          <w:color w:val="000000"/>
          <w:sz w:val="30"/>
          <w:szCs w:val="30"/>
        </w:rPr>
        <w:t>国有资本经营预算财政拨款收入支出决算表（此表无数据）</w:t>
      </w:r>
      <w:bookmarkEnd w:id="102"/>
    </w:p>
    <w:p>
      <w:pPr>
        <w:pStyle w:val="3"/>
        <w:rPr>
          <w:rFonts w:ascii="仿宋_GB2312" w:eastAsia="仿宋_GB2312" w:cs="仿宋_GB2312"/>
          <w:color w:val="000000"/>
        </w:rPr>
      </w:pPr>
      <w:bookmarkStart w:id="103" w:name="_Toc8597"/>
      <w:r>
        <w:rPr>
          <w:rStyle w:val="18"/>
          <w:rFonts w:hint="eastAsia" w:ascii="仿宋_GB2312" w:eastAsia="仿宋_GB2312" w:cs="仿宋_GB2312"/>
          <w:b w:val="0"/>
          <w:bCs w:val="0"/>
          <w:sz w:val="30"/>
          <w:szCs w:val="30"/>
        </w:rPr>
        <w:t>十四、</w:t>
      </w:r>
      <w:r>
        <w:rPr>
          <w:rFonts w:hint="eastAsia" w:ascii="仿宋_GB2312" w:eastAsia="仿宋_GB2312" w:cs="仿宋_GB2312"/>
          <w:b w:val="0"/>
          <w:color w:val="000000"/>
          <w:sz w:val="30"/>
          <w:szCs w:val="30"/>
        </w:rPr>
        <w:t>国有资本经营预算财政拨款支出决算表（此表无数据）</w:t>
      </w:r>
      <w:bookmarkEnd w:id="103"/>
    </w:p>
    <w:sectPr>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00000287"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1"/>
    <w:family w:val="auto"/>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672459"/>
    </w:sdtPr>
    <w:sdtContent>
      <w:p>
        <w:pPr>
          <w:pStyle w:val="8"/>
          <w:jc w:val="center"/>
        </w:pPr>
        <w:r>
          <w:fldChar w:fldCharType="begin"/>
        </w:r>
        <w:r>
          <w:instrText xml:space="preserve">PAGE   \* MERGEFORMAT</w:instrText>
        </w:r>
        <w:r>
          <w:fldChar w:fldCharType="separate"/>
        </w:r>
        <w:r>
          <w:rPr>
            <w:lang w:val="zh-CN"/>
          </w:rPr>
          <w:t>12</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jdmMDAwMjk5MzRjNzliNTBhZTI2ZTIyMjQyNGJhYzEifQ=="/>
  </w:docVars>
  <w:rsids>
    <w:rsidRoot w:val="00000000"/>
    <w:rsid w:val="5FFD1CA6"/>
    <w:rsid w:val="BFE7DC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30" w:beforeLines="30"/>
    </w:pPr>
    <w:rPr>
      <w:rFonts w:ascii="仿宋_GB2312" w:eastAsia="仿宋_GB2312"/>
      <w:kern w:val="0"/>
      <w:sz w:val="30"/>
    </w:rPr>
  </w:style>
  <w:style w:type="paragraph" w:styleId="6">
    <w:name w:val="toc 3"/>
    <w:basedOn w:val="1"/>
    <w:next w:val="1"/>
    <w:qFormat/>
    <w:uiPriority w:val="0"/>
    <w:pPr>
      <w:tabs>
        <w:tab w:val="right" w:leader="dot" w:pos="8296"/>
      </w:tabs>
      <w:ind w:left="400" w:leftChars="4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pPr>
      <w:tabs>
        <w:tab w:val="right" w:leader="dot" w:pos="8296"/>
      </w:tabs>
      <w:spacing w:before="93"/>
      <w:jc w:val="center"/>
    </w:pPr>
    <w:rPr>
      <w:rFonts w:ascii="仿宋" w:eastAsia="仿宋"/>
      <w:sz w:val="28"/>
      <w:szCs w:val="28"/>
    </w:rPr>
  </w:style>
  <w:style w:type="paragraph" w:styleId="11">
    <w:name w:val="toc 2"/>
    <w:basedOn w:val="1"/>
    <w:next w:val="1"/>
    <w:qFormat/>
    <w:uiPriority w:val="0"/>
    <w:pPr>
      <w:tabs>
        <w:tab w:val="right" w:leader="dot" w:pos="8296"/>
      </w:tabs>
      <w:ind w:left="200" w:leftChars="200"/>
    </w:pPr>
  </w:style>
  <w:style w:type="character" w:styleId="14">
    <w:name w:val="Strong"/>
    <w:basedOn w:val="13"/>
    <w:qFormat/>
    <w:uiPriority w:val="0"/>
    <w:rPr>
      <w:b/>
    </w:rPr>
  </w:style>
  <w:style w:type="character" w:styleId="15">
    <w:name w:val="page number"/>
    <w:basedOn w:val="13"/>
    <w:qFormat/>
    <w:uiPriority w:val="0"/>
  </w:style>
  <w:style w:type="character" w:styleId="16">
    <w:name w:val="Hyperlink"/>
    <w:basedOn w:val="13"/>
    <w:qFormat/>
    <w:uiPriority w:val="0"/>
    <w:rPr>
      <w:color w:val="0000FF"/>
      <w:u w:val="single"/>
    </w:rPr>
  </w:style>
  <w:style w:type="character" w:customStyle="1" w:styleId="17">
    <w:name w:val="heading 1 Char"/>
    <w:basedOn w:val="13"/>
    <w:link w:val="2"/>
    <w:qFormat/>
    <w:uiPriority w:val="0"/>
    <w:rPr>
      <w:rFonts w:ascii="Times New Roman" w:hAnsi="Times New Roman" w:eastAsia="宋体" w:cs="Times New Roman"/>
      <w:b/>
      <w:bCs/>
      <w:kern w:val="44"/>
      <w:sz w:val="44"/>
      <w:szCs w:val="44"/>
      <w:lang w:val="en-US" w:eastAsia="zh-CN" w:bidi="ar-SA"/>
    </w:rPr>
  </w:style>
  <w:style w:type="character" w:customStyle="1" w:styleId="18">
    <w:name w:val="heading 2 Char"/>
    <w:basedOn w:val="13"/>
    <w:link w:val="3"/>
    <w:qFormat/>
    <w:uiPriority w:val="0"/>
    <w:rPr>
      <w:rFonts w:ascii="Cambria" w:hAnsi="Cambria" w:eastAsia="宋体" w:cs="Times New Roman"/>
      <w:b/>
      <w:bCs/>
      <w:kern w:val="2"/>
      <w:sz w:val="32"/>
      <w:szCs w:val="32"/>
      <w:lang w:val="en-US" w:eastAsia="zh-CN" w:bidi="ar-SA"/>
    </w:rPr>
  </w:style>
  <w:style w:type="character" w:customStyle="1" w:styleId="19">
    <w:name w:val="Header Char"/>
    <w:basedOn w:val="13"/>
    <w:qFormat/>
    <w:uiPriority w:val="0"/>
    <w:rPr>
      <w:rFonts w:ascii="Times New Roman" w:hAnsi="Times New Roman"/>
      <w:sz w:val="18"/>
      <w:szCs w:val="18"/>
    </w:rPr>
  </w:style>
  <w:style w:type="character" w:customStyle="1" w:styleId="20">
    <w:name w:val="Footer Char"/>
    <w:basedOn w:val="13"/>
    <w:qFormat/>
    <w:uiPriority w:val="0"/>
    <w:rPr>
      <w:rFonts w:ascii="Times New Roman" w:hAnsi="Times New Roman"/>
      <w:sz w:val="18"/>
      <w:szCs w:val="18"/>
    </w:rPr>
  </w:style>
  <w:style w:type="character" w:customStyle="1" w:styleId="21">
    <w:name w:val="Body Text Char"/>
    <w:basedOn w:val="13"/>
    <w:qFormat/>
    <w:uiPriority w:val="0"/>
    <w:rPr>
      <w:rFonts w:ascii="Times New Roman" w:hAnsi="Times New Roman"/>
      <w:szCs w:val="24"/>
    </w:rPr>
  </w:style>
  <w:style w:type="paragraph" w:customStyle="1" w:styleId="2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3">
    <w:name w:val="List Paragraph"/>
    <w:basedOn w:val="1"/>
    <w:qFormat/>
    <w:uiPriority w:val="0"/>
    <w:pPr>
      <w:ind w:firstLine="200" w:firstLineChars="200"/>
    </w:pPr>
  </w:style>
  <w:style w:type="paragraph" w:customStyle="1" w:styleId="24">
    <w:name w:val="TOC 标题1"/>
    <w:basedOn w:val="2"/>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paragraph" w:customStyle="1" w:styleId="25">
    <w:name w:val="Char Char"/>
    <w:basedOn w:val="1"/>
    <w:qFormat/>
    <w:uiPriority w:val="0"/>
    <w:pPr>
      <w:widowControl/>
      <w:spacing w:after="160" w:line="240" w:lineRule="exact"/>
      <w:jc w:val="left"/>
    </w:pPr>
    <w:rPr>
      <w:szCs w:val="20"/>
    </w:rPr>
  </w:style>
  <w:style w:type="paragraph" w:customStyle="1" w:styleId="2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rPr>
  </w:style>
  <w:style w:type="paragraph" w:customStyle="1" w:styleId="27">
    <w:name w:val="Char"/>
    <w:basedOn w:val="1"/>
    <w:qFormat/>
    <w:uiPriority w:val="0"/>
    <w:pPr>
      <w:spacing w:line="240" w:lineRule="atLeast"/>
      <w:ind w:left="420" w:firstLine="420"/>
    </w:pPr>
    <w:rPr>
      <w:kern w:val="0"/>
      <w:szCs w:val="21"/>
    </w:rPr>
  </w:style>
  <w:style w:type="paragraph" w:customStyle="1" w:styleId="28">
    <w:name w:val="Char Char1"/>
    <w:basedOn w:val="1"/>
    <w:qFormat/>
    <w:uiPriority w:val="0"/>
    <w:pPr>
      <w:widowControl/>
      <w:spacing w:after="160" w:line="240" w:lineRule="exact"/>
      <w:jc w:val="left"/>
    </w:pPr>
    <w:rPr>
      <w:szCs w:val="20"/>
    </w:rPr>
  </w:style>
  <w:style w:type="character" w:customStyle="1" w:styleId="29">
    <w:name w:val="font41"/>
    <w:basedOn w:val="13"/>
    <w:qFormat/>
    <w:uiPriority w:val="0"/>
    <w:rPr>
      <w:rFonts w:ascii="Times New Roman" w:hAnsi="Times New Roman" w:cs="Times New Roman"/>
      <w:color w:val="000000"/>
      <w:sz w:val="24"/>
      <w:szCs w:val="24"/>
      <w:u w:val="none"/>
    </w:rPr>
  </w:style>
  <w:style w:type="character" w:customStyle="1" w:styleId="30">
    <w:name w:val="font51"/>
    <w:basedOn w:val="13"/>
    <w:qFormat/>
    <w:uiPriority w:val="0"/>
    <w:rPr>
      <w:rFonts w:ascii="宋体" w:eastAsia="宋体" w:cs="宋体"/>
      <w:color w:val="000000"/>
      <w:sz w:val="24"/>
      <w:szCs w:val="24"/>
      <w:u w:val="none"/>
    </w:rPr>
  </w:style>
  <w:style w:type="character" w:customStyle="1" w:styleId="31">
    <w:name w:val="font61"/>
    <w:basedOn w:val="13"/>
    <w:qFormat/>
    <w:uiPriority w:val="0"/>
    <w:rPr>
      <w:rFonts w:asci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4208291"/>
          <c:y val="0.07840918"/>
          <c:w val="0.6597526"/>
          <c:h val="0.71486354"/>
        </c:manualLayout>
      </c:layout>
      <c:barChart>
        <c:barDir val="col"/>
        <c:grouping val="clustered"/>
        <c:varyColors val="false"/>
        <c:ser>
          <c:idx val="0"/>
          <c:order val="0"/>
          <c:tx>
            <c:strRef>
              <c:f>'Sheet1'!$A$2</c:f>
              <c:strCache>
                <c:ptCount val="1"/>
                <c:pt idx="0">
                  <c:v>2020年</c:v>
                </c:pt>
              </c:strCache>
            </c:strRef>
          </c:tx>
          <c:spPr>
            <a:solidFill>
              <a:srgbClr val="9999FF"/>
            </a:solidFill>
            <a:ln w="6350">
              <a:solidFill>
                <a:srgbClr val="000000"/>
              </a:solidFill>
              <a:prstDash val="solid"/>
            </a:ln>
          </c:spPr>
          <c:invertIfNegative val="false"/>
          <c:dLbls>
            <c:dLbl>
              <c:idx val="0"/>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'Sheet1'!$B$1</c:f>
              <c:numCache>
                <c:formatCode>General</c:formatCode>
                <c:ptCount val="1"/>
              </c:numCache>
            </c:numRef>
          </c:cat>
          <c:val>
            <c:numRef>
              <c:f>Sheet1!$B$2</c:f>
              <c:numCache>
                <c:formatCode>General</c:formatCode>
                <c:ptCount val="1"/>
                <c:pt idx="0">
                  <c:v>805.92</c:v>
                </c:pt>
              </c:numCache>
            </c:numRef>
          </c:val>
        </c:ser>
        <c:ser>
          <c:idx val="1"/>
          <c:order val="1"/>
          <c:tx>
            <c:strRef>
              <c:f>'Sheet1'!$A$3</c:f>
              <c:strCache>
                <c:ptCount val="1"/>
                <c:pt idx="0">
                  <c:v>2021年</c:v>
                </c:pt>
              </c:strCache>
            </c:strRef>
          </c:tx>
          <c:spPr>
            <a:solidFill>
              <a:srgbClr val="993366"/>
            </a:solidFill>
            <a:ln w="6350">
              <a:solidFill>
                <a:srgbClr val="000000"/>
              </a:solidFill>
              <a:prstDash val="solid"/>
            </a:ln>
          </c:spPr>
          <c:invertIfNegative val="false"/>
          <c:dLbls>
            <c:dLbl>
              <c:idx val="0"/>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'Sheet1'!$B$1</c:f>
              <c:numCache>
                <c:formatCode>General</c:formatCode>
                <c:ptCount val="1"/>
              </c:numCache>
            </c:numRef>
          </c:cat>
          <c:val>
            <c:numRef>
              <c:f>Sheet1!$B$3</c:f>
              <c:numCache>
                <c:formatCode>General</c:formatCode>
                <c:ptCount val="1"/>
                <c:pt idx="0">
                  <c:v>734.16</c:v>
                </c:pt>
              </c:numCache>
            </c:numRef>
          </c:val>
        </c:ser>
        <c:dLbls>
          <c:showLegendKey val="false"/>
          <c:showVal val="false"/>
          <c:showCatName val="false"/>
          <c:showSerName val="false"/>
          <c:showPercent val="false"/>
          <c:showBubbleSize val="false"/>
        </c:dLbls>
        <c:gapWidth val="150"/>
        <c:axId val="0"/>
        <c:axId val="1"/>
      </c:barChart>
      <c:catAx>
        <c:axId val="0"/>
        <c:scaling>
          <c:orientation val="minMax"/>
        </c:scaling>
        <c:delete val="false"/>
        <c:axPos val="b"/>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000000"/>
              </a:solidFill>
              <a:prstDash val="solid"/>
              <a:round/>
            </a:ln>
          </c:spPr>
        </c:majorGridlines>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0"/>
        <c:crossesAt val="1"/>
        <c:crossBetween val="between"/>
      </c:valAx>
      <c:spPr>
        <a:solidFill>
          <a:srgbClr val="C0C0C0"/>
        </a:solidFill>
        <a:ln w="6350">
          <a:solidFill>
            <a:srgbClr val="808080"/>
          </a:solidFill>
          <a:prstDash val="solid"/>
        </a:ln>
      </c:spPr>
    </c:plotArea>
    <c:legend>
      <c:legendPos val="r"/>
      <c:layout>
        <c:manualLayout>
          <c:xMode val="edge"/>
          <c:yMode val="edge"/>
          <c:x val="0.8296289"/>
          <c:y val="0.44402993"/>
          <c:w val="0.1510574"/>
          <c:h val="0.1891892"/>
        </c:manualLayout>
      </c:layout>
      <c:overlay val="false"/>
      <c:spPr>
        <a:noFill/>
        <a:ln w="6350">
          <a:solidFill>
            <a:srgbClr val="000000"/>
          </a:solidFill>
          <a:prstDash val="solid"/>
        </a:ln>
      </c:spPr>
      <c:txPr>
        <a:bodyPr rot="0" spcFirstLastPara="0" vertOverflow="ellipsis" vert="horz" wrap="square" anchor="ctr" anchorCtr="true"/>
        <a:lstStyle/>
        <a:p>
          <a:pPr>
            <a:defRPr lang="zh-CN" sz="12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8209967"/>
          <c:y val="0.06790123"/>
          <c:w val="0.3873532"/>
          <c:h val="0.88230455"/>
        </c:manualLayout>
      </c:layout>
      <c:pieChart>
        <c:varyColors val="true"/>
        <c:ser>
          <c:idx val="0"/>
          <c:order val="0"/>
          <c:tx>
            <c:strRef>
              <c:f>'Sheet1 (2)'!$A$2</c:f>
              <c:strCache>
                <c:ptCount val="1"/>
                <c:pt idx="0">
                  <c:v>2021年</c:v>
                </c:pt>
              </c:strCache>
            </c:strRef>
          </c:tx>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993366"/>
              </a:solidFill>
              <a:ln w="6350">
                <a:solidFill>
                  <a:srgbClr val="000000"/>
                </a:solidFill>
                <a:prstDash val="solid"/>
              </a:ln>
            </c:spPr>
          </c:dPt>
          <c:dPt>
            <c:idx val="2"/>
            <c:bubble3D val="false"/>
            <c:spPr>
              <a:solidFill>
                <a:srgbClr val="FFFFFF"/>
              </a:solidFill>
              <a:ln w="6350">
                <a:solidFill>
                  <a:srgbClr val="000000"/>
                </a:solidFill>
                <a:prstDash val="solid"/>
              </a:ln>
            </c:spPr>
          </c:dPt>
          <c:dLbls>
            <c:dLbl>
              <c:idx val="0"/>
              <c:delete val="true"/>
            </c:dLbl>
            <c:dLbl>
              <c:idx val="1"/>
              <c:delete val="true"/>
            </c:dLbl>
            <c:dLbl>
              <c:idx val="2"/>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11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(2)'!$B$1:$D$1</c:f>
              <c:strCache>
                <c:ptCount val="3"/>
                <c:pt idx="0">
                  <c:v>一般公共预算财政拨款收入</c:v>
                </c:pt>
                <c:pt idx="1">
                  <c:v>政府性基金预算财政拨款收入</c:v>
                </c:pt>
                <c:pt idx="2">
                  <c:v>其他收入</c:v>
                </c:pt>
              </c:strCache>
            </c:strRef>
          </c:cat>
          <c:val>
            <c:numRef>
              <c:f>'Sheet1 (2)'!$B$2:$D$2</c:f>
              <c:numCache>
                <c:formatCode>General</c:formatCode>
                <c:ptCount val="3"/>
                <c:pt idx="0">
                  <c:v>725.52</c:v>
                </c:pt>
                <c:pt idx="1">
                  <c:v>5</c:v>
                </c:pt>
                <c:pt idx="2">
                  <c:v>0.02</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6513047"/>
          <c:y val="0.028342854"/>
          <c:w val="0.3237266"/>
          <c:h val="0.5357223"/>
        </c:manualLayout>
      </c:layout>
      <c:overlay val="false"/>
      <c:spPr>
        <a:noFill/>
        <a:ln w="6350">
          <a:solidFill>
            <a:srgbClr val="000000"/>
          </a:solidFill>
          <a:prstDash val="solid"/>
        </a:ln>
      </c:spPr>
      <c:txPr>
        <a:bodyPr rot="0" spcFirstLastPara="0" vertOverflow="ellipsis" vert="horz" wrap="square" anchor="ctr" anchorCtr="true"/>
        <a:lstStyle/>
        <a:p>
          <a:pPr>
            <a:defRPr lang="zh-CN" sz="10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115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104247"/>
          <c:y val="0.09411765"/>
          <c:w val="0.3996139"/>
          <c:h val="0.8117647"/>
        </c:manualLayout>
      </c:layout>
      <c:pieChart>
        <c:varyColors val="true"/>
        <c:ser>
          <c:idx val="0"/>
          <c:order val="0"/>
          <c:tx>
            <c:strRef>
              <c:f>'Sheet1 (3)'!$A$2</c:f>
              <c:strCache>
                <c:ptCount val="1"/>
                <c:pt idx="0">
                  <c:v>2021年</c:v>
                </c:pt>
              </c:strCache>
            </c:strRef>
          </c:tx>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993366"/>
              </a:solidFill>
              <a:ln w="6350">
                <a:solidFill>
                  <a:srgbClr val="000000"/>
                </a:solidFill>
                <a:prstDash val="solid"/>
              </a:ln>
            </c:spPr>
          </c:dPt>
          <c:dLbls>
            <c:dLbl>
              <c:idx val="0"/>
              <c:delete val="true"/>
            </c:dLbl>
            <c:dLbl>
              <c:idx val="1"/>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12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(3)'!$B$1:$C$1</c:f>
              <c:strCache>
                <c:ptCount val="2"/>
                <c:pt idx="0">
                  <c:v>基本支出</c:v>
                </c:pt>
                <c:pt idx="1">
                  <c:v>项目支出</c:v>
                </c:pt>
              </c:strCache>
            </c:strRef>
          </c:cat>
          <c:val>
            <c:numRef>
              <c:f>'Sheet1 (3)'!$B$2:$C$2</c:f>
              <c:numCache>
                <c:formatCode>General</c:formatCode>
                <c:ptCount val="2"/>
                <c:pt idx="0">
                  <c:v>584.64</c:v>
                </c:pt>
                <c:pt idx="1">
                  <c:v>149.52</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82239383"/>
          <c:y val="0.41568628"/>
          <c:w val="0.16988418"/>
          <c:h val="0.16862746"/>
        </c:manualLayout>
      </c:layout>
      <c:overlay val="false"/>
      <c:spPr>
        <a:noFill/>
        <a:ln w="6350">
          <a:solidFill>
            <a:srgbClr val="000000"/>
          </a:solidFill>
          <a:prstDash val="solid"/>
        </a:ln>
      </c:spPr>
      <c:txPr>
        <a:bodyPr rot="0" spcFirstLastPara="0" vertOverflow="ellipsis" vert="horz" wrap="square" anchor="ctr" anchorCtr="true"/>
        <a:lstStyle/>
        <a:p>
          <a:pPr>
            <a:defRPr lang="zh-CN" sz="11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201716"/>
          <c:y val="0.102829166"/>
          <c:w val="0.5730186"/>
          <c:h val="0.8048391"/>
        </c:manualLayout>
      </c:layout>
      <c:barChart>
        <c:barDir val="col"/>
        <c:grouping val="clustered"/>
        <c:varyColors val="false"/>
        <c:ser>
          <c:idx val="0"/>
          <c:order val="0"/>
          <c:tx>
            <c:strRef>
              <c:f>'Sheet1 (4)'!$A$2</c:f>
              <c:strCache>
                <c:ptCount val="1"/>
                <c:pt idx="0">
                  <c:v>2020年</c:v>
                </c:pt>
              </c:strCache>
            </c:strRef>
          </c:tx>
          <c:spPr>
            <a:solidFill>
              <a:srgbClr val="9999FF"/>
            </a:solidFill>
            <a:ln w="6350">
              <a:solidFill>
                <a:srgbClr val="000000"/>
              </a:solidFill>
              <a:prstDash val="solid"/>
            </a:ln>
          </c:spPr>
          <c:invertIfNegative val="false"/>
          <c:dLbls>
            <c:dLbl>
              <c:idx val="0"/>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'Sheet1 (4)'!$B$1</c:f>
              <c:numCache>
                <c:formatCode>General</c:formatCode>
                <c:ptCount val="1"/>
              </c:numCache>
            </c:numRef>
          </c:cat>
          <c:val>
            <c:numRef>
              <c:f>Sheet1 (4)!$B$2</c:f>
              <c:numCache>
                <c:formatCode>General</c:formatCode>
                <c:ptCount val="1"/>
                <c:pt idx="0">
                  <c:v>804.92</c:v>
                </c:pt>
              </c:numCache>
            </c:numRef>
          </c:val>
        </c:ser>
        <c:ser>
          <c:idx val="1"/>
          <c:order val="1"/>
          <c:tx>
            <c:strRef>
              <c:f>'Sheet1 (4)'!$A$3</c:f>
              <c:strCache>
                <c:ptCount val="1"/>
                <c:pt idx="0">
                  <c:v>2021年</c:v>
                </c:pt>
              </c:strCache>
            </c:strRef>
          </c:tx>
          <c:spPr>
            <a:solidFill>
              <a:srgbClr val="993366"/>
            </a:solidFill>
            <a:ln w="6350">
              <a:solidFill>
                <a:srgbClr val="000000"/>
              </a:solidFill>
              <a:prstDash val="solid"/>
            </a:ln>
          </c:spPr>
          <c:invertIfNegative val="false"/>
          <c:dLbls>
            <c:dLbl>
              <c:idx val="0"/>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'Sheet1 (4)'!$B$1</c:f>
              <c:numCache>
                <c:formatCode>General</c:formatCode>
                <c:ptCount val="1"/>
              </c:numCache>
            </c:numRef>
          </c:cat>
          <c:val>
            <c:numRef>
              <c:f>Sheet1 (4)!$B$3</c:f>
              <c:numCache>
                <c:formatCode>General</c:formatCode>
                <c:ptCount val="1"/>
                <c:pt idx="0">
                  <c:v>734.14</c:v>
                </c:pt>
              </c:numCache>
            </c:numRef>
          </c:val>
        </c:ser>
        <c:dLbls>
          <c:showLegendKey val="false"/>
          <c:showVal val="false"/>
          <c:showCatName val="false"/>
          <c:showSerName val="false"/>
          <c:showPercent val="false"/>
          <c:showBubbleSize val="false"/>
        </c:dLbls>
        <c:gapWidth val="150"/>
        <c:axId val="0"/>
        <c:axId val="1"/>
      </c:barChart>
      <c:catAx>
        <c:axId val="0"/>
        <c:scaling>
          <c:orientation val="minMax"/>
        </c:scaling>
        <c:delete val="false"/>
        <c:axPos val="b"/>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000000"/>
              </a:solidFill>
              <a:prstDash val="solid"/>
              <a:round/>
            </a:ln>
          </c:spPr>
        </c:majorGridlines>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0"/>
        <c:crossesAt val="1"/>
        <c:crossBetween val="between"/>
      </c:valAx>
      <c:spPr>
        <a:solidFill>
          <a:srgbClr val="C0C0C0"/>
        </a:solidFill>
        <a:ln w="6350">
          <a:solidFill>
            <a:srgbClr val="808080"/>
          </a:solidFill>
          <a:prstDash val="solid"/>
        </a:ln>
      </c:spPr>
    </c:plotArea>
    <c:legend>
      <c:legendPos val="r"/>
      <c:layout>
        <c:manualLayout>
          <c:xMode val="edge"/>
          <c:yMode val="edge"/>
          <c:x val="0.77788585"/>
          <c:y val="0.1980011"/>
          <c:w val="0.2047486"/>
          <c:h val="0.39532948"/>
        </c:manualLayout>
      </c:layout>
      <c:overlay val="false"/>
      <c:spPr>
        <a:noFill/>
        <a:ln w="6350">
          <a:solidFill>
            <a:srgbClr val="000000"/>
          </a:solidFill>
          <a:prstDash val="solid"/>
        </a:ln>
      </c:spPr>
      <c:txPr>
        <a:bodyPr rot="0" spcFirstLastPara="0" vertOverflow="ellipsis" vert="horz" wrap="square" anchor="ctr" anchorCtr="true"/>
        <a:lstStyle/>
        <a:p>
          <a:pPr>
            <a:defRPr lang="zh-CN" sz="15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6234057"/>
          <c:y val="0.08391608"/>
          <c:w val="0.6154372"/>
          <c:h val="0.79330146"/>
        </c:manualLayout>
      </c:layout>
      <c:barChart>
        <c:barDir val="col"/>
        <c:grouping val="clustered"/>
        <c:varyColors val="false"/>
        <c:ser>
          <c:idx val="0"/>
          <c:order val="0"/>
          <c:tx>
            <c:strRef>
              <c:f>'Sheet1 (5)'!$A$2</c:f>
              <c:strCache>
                <c:ptCount val="1"/>
                <c:pt idx="0">
                  <c:v>2021年</c:v>
                </c:pt>
              </c:strCache>
            </c:strRef>
          </c:tx>
          <c:spPr>
            <a:solidFill>
              <a:srgbClr val="9999FF"/>
            </a:solidFill>
            <a:ln w="6350">
              <a:solidFill>
                <a:srgbClr val="000000"/>
              </a:solidFill>
              <a:prstDash val="solid"/>
            </a:ln>
          </c:spPr>
          <c:invertIfNegative val="false"/>
          <c:dLbls>
            <c:dLbl>
              <c:idx val="0"/>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'Sheet1 (5)'!$B$1</c:f>
              <c:numCache>
                <c:formatCode>General</c:formatCode>
                <c:ptCount val="1"/>
              </c:numCache>
            </c:numRef>
          </c:cat>
          <c:val>
            <c:numRef>
              <c:f>Sheet1 (5)!$B$2</c:f>
              <c:numCache>
                <c:formatCode>General</c:formatCode>
                <c:ptCount val="1"/>
                <c:pt idx="0">
                  <c:v>729.14</c:v>
                </c:pt>
              </c:numCache>
            </c:numRef>
          </c:val>
        </c:ser>
        <c:ser>
          <c:idx val="1"/>
          <c:order val="1"/>
          <c:tx>
            <c:strRef>
              <c:f>'Sheet1 (5)'!$A$3</c:f>
              <c:strCache>
                <c:ptCount val="1"/>
                <c:pt idx="0">
                  <c:v>2020年</c:v>
                </c:pt>
              </c:strCache>
            </c:strRef>
          </c:tx>
          <c:spPr>
            <a:solidFill>
              <a:srgbClr val="993366"/>
            </a:solidFill>
            <a:ln w="6350">
              <a:solidFill>
                <a:srgbClr val="000000"/>
              </a:solidFill>
              <a:prstDash val="solid"/>
            </a:ln>
          </c:spPr>
          <c:invertIfNegative val="false"/>
          <c:dLbls>
            <c:dLbl>
              <c:idx val="0"/>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'Sheet1 (5)'!$B$1</c:f>
              <c:numCache>
                <c:formatCode>General</c:formatCode>
                <c:ptCount val="1"/>
              </c:numCache>
            </c:numRef>
          </c:cat>
          <c:val>
            <c:numRef>
              <c:f>Sheet1 (5)!$B$3</c:f>
              <c:numCache>
                <c:formatCode>General</c:formatCode>
                <c:ptCount val="1"/>
                <c:pt idx="0">
                  <c:v>698.3</c:v>
                </c:pt>
              </c:numCache>
            </c:numRef>
          </c:val>
        </c:ser>
        <c:dLbls>
          <c:showLegendKey val="false"/>
          <c:showVal val="false"/>
          <c:showCatName val="false"/>
          <c:showSerName val="false"/>
          <c:showPercent val="false"/>
          <c:showBubbleSize val="false"/>
        </c:dLbls>
        <c:gapWidth val="150"/>
        <c:axId val="0"/>
        <c:axId val="1"/>
      </c:barChart>
      <c:catAx>
        <c:axId val="0"/>
        <c:scaling>
          <c:orientation val="minMax"/>
        </c:scaling>
        <c:delete val="false"/>
        <c:axPos val="b"/>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000000"/>
              </a:solidFill>
              <a:prstDash val="solid"/>
              <a:round/>
            </a:ln>
          </c:spPr>
        </c:majorGridlines>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0"/>
        <c:crossesAt val="1"/>
        <c:crossBetween val="between"/>
      </c:valAx>
      <c:spPr>
        <a:solidFill>
          <a:srgbClr val="C0C0C0"/>
        </a:solidFill>
        <a:ln w="6350">
          <a:solidFill>
            <a:srgbClr val="808080"/>
          </a:solidFill>
          <a:prstDash val="solid"/>
        </a:ln>
      </c:spPr>
    </c:plotArea>
    <c:legend>
      <c:legendPos val="r"/>
      <c:layout>
        <c:manualLayout>
          <c:xMode val="edge"/>
          <c:yMode val="edge"/>
          <c:x val="0.8200111"/>
          <c:y val="0.25708067"/>
          <c:w val="0.1681828"/>
          <c:h val="0.2035881"/>
        </c:manualLayout>
      </c:layout>
      <c:overlay val="false"/>
      <c:spPr>
        <a:noFill/>
        <a:ln w="6350">
          <a:solidFill>
            <a:srgbClr val="000000"/>
          </a:solidFill>
          <a:prstDash val="solid"/>
        </a:ln>
      </c:spPr>
      <c:txPr>
        <a:bodyPr rot="0" spcFirstLastPara="0" vertOverflow="ellipsis" vert="horz" wrap="square" anchor="ctr" anchorCtr="true"/>
        <a:lstStyle/>
        <a:p>
          <a:pPr>
            <a:defRPr lang="zh-CN" sz="15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8940424"/>
          <c:y val="0.03788546"/>
          <c:w val="0.26467067"/>
          <c:h val="0.87621146"/>
        </c:manualLayout>
      </c:layout>
      <c:pieChart>
        <c:varyColors val="true"/>
        <c:ser>
          <c:idx val="0"/>
          <c:order val="0"/>
          <c:tx>
            <c:strRef>
              <c:f>'Sheet1 (6)'!$A$2</c:f>
              <c:strCache>
                <c:ptCount val="1"/>
                <c:pt idx="0">
                  <c:v>2021年</c:v>
                </c:pt>
              </c:strCache>
            </c:strRef>
          </c:tx>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002060"/>
              </a:solidFill>
              <a:ln w="6350">
                <a:solidFill>
                  <a:srgbClr val="000000"/>
                </a:solidFill>
                <a:prstDash val="solid"/>
              </a:ln>
            </c:spPr>
          </c:dPt>
          <c:dPt>
            <c:idx val="2"/>
            <c:bubble3D val="false"/>
            <c:spPr>
              <a:solidFill>
                <a:srgbClr val="FFFFCC"/>
              </a:solidFill>
              <a:ln w="6350">
                <a:solidFill>
                  <a:srgbClr val="000000"/>
                </a:solidFill>
                <a:prstDash val="solid"/>
              </a:ln>
            </c:spPr>
          </c:dPt>
          <c:dPt>
            <c:idx val="3"/>
            <c:bubble3D val="false"/>
            <c:spPr>
              <a:solidFill>
                <a:srgbClr val="953735"/>
              </a:solidFill>
              <a:ln w="6350">
                <a:solidFill>
                  <a:srgbClr val="000000"/>
                </a:solidFill>
                <a:prstDash val="solid"/>
              </a:ln>
            </c:spPr>
          </c:dPt>
          <c:dLbls>
            <c:dLbl>
              <c:idx val="0"/>
              <c:delete val="true"/>
            </c:dLbl>
            <c:dLbl>
              <c:idx val="1"/>
              <c:delete val="true"/>
            </c:dLbl>
            <c:dLbl>
              <c:idx val="2"/>
              <c:delete val="true"/>
            </c:dLbl>
            <c:dLbl>
              <c:idx val="3"/>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(6)'!$B$1:$E$1</c:f>
              <c:strCache>
                <c:ptCount val="4"/>
                <c:pt idx="0">
                  <c:v>一般公共服务支出</c:v>
                </c:pt>
                <c:pt idx="1">
                  <c:v>社会保障和就业支出</c:v>
                </c:pt>
                <c:pt idx="2">
                  <c:v>农林水支出</c:v>
                </c:pt>
                <c:pt idx="3">
                  <c:v>住房保障支出</c:v>
                </c:pt>
              </c:strCache>
            </c:strRef>
          </c:cat>
          <c:val>
            <c:numRef>
              <c:f>'Sheet1 (6)'!$B$2:$E$2</c:f>
              <c:numCache>
                <c:formatCode>General</c:formatCode>
                <c:ptCount val="4"/>
                <c:pt idx="0">
                  <c:v>534.17</c:v>
                </c:pt>
                <c:pt idx="1">
                  <c:v>73.76</c:v>
                </c:pt>
                <c:pt idx="2">
                  <c:v>83.72</c:v>
                </c:pt>
                <c:pt idx="3">
                  <c:v>37.49</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6772815"/>
          <c:y val="0.21135542"/>
          <c:w val="0.2710952"/>
          <c:h val="0.6037526"/>
        </c:manualLayout>
      </c:layout>
      <c:overlay val="false"/>
      <c:spPr>
        <a:noFill/>
        <a:ln w="6350">
          <a:solidFill>
            <a:srgbClr val="000000"/>
          </a:solidFill>
          <a:prstDash val="solid"/>
        </a:ln>
      </c:spPr>
      <c:txPr>
        <a:bodyPr rot="0" spcFirstLastPara="0" vertOverflow="ellipsis" vert="horz" wrap="square" anchor="ctr" anchorCtr="true"/>
        <a:lstStyle/>
        <a:p>
          <a:pPr>
            <a:defRPr lang="zh-CN" sz="7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80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30521095"/>
          <c:y val="0.12885693"/>
          <c:w val="0.20421906"/>
          <c:h val="0.5272234"/>
        </c:manualLayout>
      </c:layout>
      <c:pieChart>
        <c:varyColors val="true"/>
        <c:ser>
          <c:idx val="0"/>
          <c:order val="0"/>
          <c:tx>
            <c:strRef>
              <c:f>'Sheet1 (7)'!$A$2</c:f>
              <c:strCache>
                <c:ptCount val="1"/>
                <c:pt idx="0">
                  <c:v/>
                </c:pt>
              </c:strCache>
            </c:strRef>
          </c:tx>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993366"/>
              </a:solidFill>
              <a:ln w="6350">
                <a:solidFill>
                  <a:srgbClr val="000000"/>
                </a:solidFill>
                <a:prstDash val="solid"/>
              </a:ln>
            </c:spPr>
          </c:dPt>
          <c:dLbls>
            <c:dLbl>
              <c:idx val="0"/>
              <c:delete val="true"/>
            </c:dLbl>
            <c:dLbl>
              <c:idx val="1"/>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(7)'!$B$1:$C$1</c:f>
              <c:strCache>
                <c:ptCount val="2"/>
                <c:pt idx="0">
                  <c:v>公务用车购置及运行维护费</c:v>
                </c:pt>
                <c:pt idx="1">
                  <c:v>公务接待费</c:v>
                </c:pt>
              </c:strCache>
            </c:strRef>
          </c:cat>
          <c:val>
            <c:numRef>
              <c:f>'Sheet1 (7)'!$B$2:$C$2</c:f>
              <c:numCache>
                <c:formatCode>General</c:formatCode>
                <c:ptCount val="2"/>
                <c:pt idx="0">
                  <c:v>5.96</c:v>
                </c:pt>
                <c:pt idx="1">
                  <c:v>1.14</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6177614"/>
          <c:y val="0.17006315"/>
          <c:w val="0.346605"/>
          <c:h val="0.36177817"/>
        </c:manualLayout>
      </c:layout>
      <c:overlay val="false"/>
      <c:spPr>
        <a:noFill/>
        <a:ln w="6350">
          <a:solidFill>
            <a:srgbClr val="000000"/>
          </a:solidFill>
          <a:prstDash val="solid"/>
        </a:ln>
      </c:spPr>
      <c:txPr>
        <a:bodyPr rot="0" spcFirstLastPara="0" vertOverflow="ellipsis" vert="horz" wrap="square" anchor="ctr" anchorCtr="true"/>
        <a:lstStyle/>
        <a:p>
          <a:pPr>
            <a:defRPr lang="zh-CN" sz="8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80</Pages>
  <Words>32734</Words>
  <Characters>34432</Characters>
  <Lines>2142</Lines>
  <Paragraphs>931</Paragraphs>
  <TotalTime>0</TotalTime>
  <ScaleCrop>false</ScaleCrop>
  <LinksUpToDate>false</LinksUpToDate>
  <CharactersWithSpaces>34649</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2023-10-12T00:45:00Z</dcterms:created>
  <dc:creator>张彬茜</dc:creator>
  <cp:lastModifiedBy>user</cp:lastModifiedBy>
  <cp:lastPrinted>2021-07-21T15:17:00Z</cp:lastPrinted>
  <dcterms:modified xsi:type="dcterms:W3CDTF">2025-07-21T18:18:01Z</dcterms:modified>
  <dc:title>四川省***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2594D0E311544B17ABD314020BD8F54D_13</vt:lpwstr>
  </property>
</Properties>
</file>