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color w:val="000000"/>
          <w:sz w:val="72"/>
          <w:szCs w:val="72"/>
        </w:rPr>
      </w:pPr>
      <w:bookmarkStart w:id="0" w:name="_Toc15306267"/>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adjustRightInd w:val="0"/>
        <w:snapToGrid w:val="0"/>
        <w:spacing w:line="360" w:lineRule="auto"/>
        <w:jc w:val="center"/>
        <w:outlineLvl w:val="0"/>
        <w:rPr>
          <w:rFonts w:ascii="方正小标宋_GBK" w:eastAsia="方正小标宋_GBK" w:cs="方正小标宋_GBK" w:hint="eastAsia"/>
          <w:color w:val="000000"/>
          <w:sz w:val="72"/>
          <w:szCs w:val="72"/>
        </w:rPr>
      </w:pPr>
    </w:p>
    <w:p>
      <w:pPr>
        <w:keepNext w:val="0"/>
        <w:keepLines w:val="0"/>
        <w:pageBreakBefore w:val="0"/>
        <w:widowControl w:val="0"/>
        <w:kinsoku/>
        <w:wordWrap/>
        <w:overflowPunct/>
        <w:topLinePunct w:val="0"/>
        <w:autoSpaceDE/>
        <w:autoSpaceDN/>
        <w:bidi w:val="0"/>
        <w:adjustRightInd/>
        <w:snapToGrid/>
        <w:spacing w:afterLines="100" w:after="312"/>
        <w:jc w:val="center"/>
        <w:textAlignment w:val="auto"/>
        <w:outlineLvl w:val="9"/>
        <w:rPr>
          <w:rFonts w:ascii="方正小标宋_GBK" w:eastAsia="方正小标宋_GBK" w:cs="方正小标宋_GBK" w:hint="eastAsia"/>
          <w:sz w:val="72"/>
          <w:szCs w:val="72"/>
        </w:rPr>
      </w:pPr>
      <w:bookmarkStart w:id="1" w:name="_Toc77628793"/>
      <w:bookmarkStart w:id="2" w:name="_Toc15378441"/>
      <w:bookmarkStart w:id="3" w:name="_Toc15377425"/>
      <w:bookmarkStart w:id="4" w:name="_Toc15396597"/>
      <w:bookmarkStart w:id="5" w:name="_Toc8412"/>
      <w:bookmarkStart w:id="6" w:name="_Toc17445"/>
      <w:bookmarkStart w:id="7" w:name="_Toc77628612"/>
      <w:bookmarkStart w:id="8" w:name="_Toc15396475"/>
      <w:bookmarkStart w:id="9" w:name="_Toc77627328"/>
      <w:bookmarkStart w:id="10" w:name="_Toc15377193"/>
      <w:bookmarkStart w:id="11" w:name="_Toc11125"/>
      <w:r>
        <w:rPr>
          <w:rFonts w:ascii="方正小标宋_GBK" w:eastAsia="方正小标宋_GBK" w:cs="方正小标宋_GBK" w:hint="eastAsia"/>
          <w:sz w:val="72"/>
          <w:szCs w:val="72"/>
        </w:rPr>
        <w:t>2021年度</w:t>
      </w:r>
      <w:bookmarkStart w:id="12" w:name="_Toc15377194"/>
      <w:bookmarkStart w:id="13" w:name="_Toc77628794"/>
      <w:bookmarkStart w:id="14" w:name="_Toc15378442"/>
      <w:bookmarkStart w:id="15" w:name="_Toc15396598"/>
      <w:bookmarkStart w:id="16" w:name="_Toc77627329"/>
      <w:bookmarkStart w:id="17" w:name="_Toc7793"/>
      <w:bookmarkStart w:id="18" w:name="_Toc18848"/>
      <w:bookmarkStart w:id="19" w:name="_Toc11520"/>
      <w:bookmarkStart w:id="20" w:name="_Toc77628613"/>
      <w:bookmarkStart w:id="21" w:name="_Toc15377426"/>
      <w:bookmarkStart w:id="22" w:name="_Toc15396476"/>
      <w:bookmarkEnd w:id="1"/>
      <w:bookmarkEnd w:id="2"/>
      <w:bookmarkEnd w:id="3"/>
      <w:bookmarkEnd w:id="4"/>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afterLines="100" w:after="312"/>
        <w:jc w:val="center"/>
        <w:textAlignment w:val="auto"/>
        <w:outlineLvl w:val="9"/>
        <w:rPr>
          <w:rFonts w:ascii="方正小标宋_GBK" w:eastAsia="方正小标宋_GBK" w:cs="方正小标宋_GBK" w:hint="eastAsia"/>
          <w:sz w:val="72"/>
          <w:szCs w:val="72"/>
        </w:rPr>
      </w:pPr>
      <w:r>
        <w:rPr>
          <w:rFonts w:ascii="方正小标宋_GBK" w:eastAsia="方正小标宋_GBK" w:cs="方正小标宋_GBK" w:hint="eastAsia"/>
          <w:sz w:val="72"/>
          <w:szCs w:val="72"/>
        </w:rPr>
        <w:t>四川省</w:t>
      </w:r>
      <w:bookmarkStart w:id="23" w:name="_Toc15306268"/>
      <w:bookmarkEnd w:id="0"/>
      <w:r>
        <w:rPr>
          <w:rFonts w:ascii="方正小标宋_GBK" w:eastAsia="方正小标宋_GBK" w:cs="方正小标宋_GBK" w:hint="eastAsia"/>
          <w:sz w:val="72"/>
          <w:szCs w:val="72"/>
        </w:rPr>
        <w:t>攀枝花市民族宗教</w:t>
      </w:r>
    </w:p>
    <w:p>
      <w:pPr>
        <w:keepNext w:val="0"/>
        <w:keepLines w:val="0"/>
        <w:pageBreakBefore w:val="0"/>
        <w:widowControl w:val="0"/>
        <w:kinsoku/>
        <w:wordWrap/>
        <w:overflowPunct/>
        <w:topLinePunct w:val="0"/>
        <w:autoSpaceDE/>
        <w:autoSpaceDN/>
        <w:bidi w:val="0"/>
        <w:adjustRightInd/>
        <w:snapToGrid/>
        <w:spacing w:afterLines="100" w:after="312"/>
        <w:jc w:val="center"/>
        <w:textAlignment w:val="auto"/>
        <w:outlineLvl w:val="9"/>
        <w:rPr>
          <w:rFonts w:ascii="方正小标宋_GBK" w:eastAsia="方正小标宋_GBK" w:cs="方正小标宋_GBK" w:hint="eastAsia"/>
          <w:color w:val="000000"/>
          <w:szCs w:val="72"/>
        </w:rPr>
      </w:pPr>
      <w:r>
        <w:rPr>
          <w:rFonts w:ascii="方正小标宋_GBK" w:eastAsia="方正小标宋_GBK" w:cs="方正小标宋_GBK" w:hint="eastAsia"/>
          <w:sz w:val="72"/>
          <w:szCs w:val="72"/>
        </w:rPr>
        <w:t>事务委员会部门决算</w:t>
      </w:r>
      <w:bookmarkEnd w:id="12"/>
      <w:bookmarkEnd w:id="13"/>
      <w:bookmarkEnd w:id="14"/>
      <w:bookmarkEnd w:id="15"/>
      <w:bookmarkEnd w:id="16"/>
      <w:bookmarkEnd w:id="17"/>
      <w:bookmarkEnd w:id="18"/>
      <w:bookmarkEnd w:id="19"/>
      <w:bookmarkEnd w:id="20"/>
      <w:bookmarkEnd w:id="21"/>
      <w:bookmarkEnd w:id="22"/>
      <w:bookmarkEnd w:id="23"/>
    </w:p>
    <w:p>
      <w:pPr>
        <w:widowControl/>
        <w:jc w:val="center"/>
        <w:rPr>
          <w:rFonts w:ascii="黑体" w:eastAsia="黑体"/>
          <w:color w:val="000000"/>
          <w:sz w:val="48"/>
          <w:szCs w:val="48"/>
        </w:rPr>
      </w:pPr>
      <w:r>
        <w:rPr>
          <w:rFonts w:ascii="方正小标宋简体" w:eastAsia="方正小标宋简体"/>
          <w:color w:val="000000"/>
          <w:sz w:val="36"/>
          <w:szCs w:val="36"/>
        </w:rPr>
        <w:br w:type="page"/>
      </w:r>
      <w:r>
        <w:rPr>
          <w:rFonts w:ascii="黑体" w:eastAsia="黑体" w:hint="eastAsia"/>
          <w:color w:val="000000"/>
          <w:sz w:val="48"/>
          <w:szCs w:val="48"/>
        </w:rPr>
        <w:t>目录</w:t>
      </w:r>
    </w:p>
    <w:p>
      <w:pPr>
        <w:pStyle w:val="20"/>
        <w:tabs>
          <w:tab w:val="right" w:leader="dot" w:pos="8296"/>
        </w:tabs>
      </w:pPr>
      <w:r>
        <w:rPr>
          <w:rFonts w:hint="eastAsia"/>
        </w:rPr>
        <w:t>公开时间：</w:t>
      </w:r>
      <w:r>
        <w:t>2021</w:t>
      </w:r>
      <w:r>
        <w:rPr>
          <w:rFonts w:hint="eastAsia"/>
        </w:rPr>
        <w:t>年9月13日</w:t>
      </w:r>
    </w:p>
    <w:p>
      <w:pPr>
        <w:pStyle w:val="20"/>
        <w:tabs>
          <w:tab w:val="clear" w:pos="8296"/>
          <w:tab w:val="right" w:leader="dot" w:pos="8306"/>
        </w:tabs>
      </w:pPr>
      <w:r>
        <w:rPr>
          <w:rFonts w:ascii="黑体" w:eastAsia="黑体"/>
          <w:color w:val="000000"/>
          <w:sz w:val="48"/>
          <w:szCs w:val="48"/>
        </w:rPr>
        <w:fldChar w:fldCharType="begin"/>
      </w:r>
      <w:r>
        <w:rPr>
          <w:rFonts w:ascii="黑体" w:eastAsia="黑体"/>
          <w:color w:val="000000"/>
          <w:sz w:val="48"/>
          <w:szCs w:val="48"/>
        </w:rPr>
        <w:instrText xml:space="preserve"> TOC \o "1-2" \h \z \u </w:instrText>
      </w:r>
      <w:r>
        <w:rPr>
          <w:rFonts w:ascii="黑体" w:eastAsia="黑体"/>
          <w:color w:val="000000"/>
          <w:sz w:val="48"/>
          <w:szCs w:val="48"/>
        </w:rPr>
        <w:fldChar w:fldCharType="separate"/>
      </w:r>
      <w:r>
        <w:rPr>
          <w:rFonts w:ascii="黑体" w:eastAsia="黑体"/>
          <w:szCs w:val="48"/>
        </w:rPr>
        <w:fldChar w:fldCharType="begin"/>
      </w:r>
      <w:r>
        <w:rPr>
          <w:rFonts w:ascii="黑体" w:eastAsia="黑体"/>
          <w:szCs w:val="48"/>
        </w:rPr>
        <w:instrText xml:space="preserve"> HYPERLINK \l _Toc24416 </w:instrText>
      </w:r>
      <w:r>
        <w:rPr>
          <w:rFonts w:ascii="黑体" w:eastAsia="黑体"/>
          <w:szCs w:val="48"/>
        </w:rPr>
        <w:fldChar w:fldCharType="separate"/>
      </w:r>
      <w:r>
        <w:rPr>
          <w:rFonts w:ascii="黑体" w:eastAsia="黑体" w:hint="eastAsia"/>
        </w:rPr>
        <w:t xml:space="preserve">第一部分 </w:t>
      </w:r>
      <w:r>
        <w:rPr>
          <w:rFonts w:ascii="黑体" w:eastAsia="黑体" w:hint="eastAsia"/>
          <w:bCs w:val="0"/>
        </w:rPr>
        <w:t>部门概况</w:t>
      </w:r>
      <w:r>
        <w:tab/>
      </w:r>
      <w:r>
        <w:fldChar w:fldCharType="begin"/>
      </w:r>
      <w:r>
        <w:instrText xml:space="preserve"> PAGEREF _Toc24416 </w:instrText>
      </w:r>
      <w:r>
        <w:fldChar w:fldCharType="separate"/>
      </w:r>
      <w:r>
        <w:t>4</w:t>
      </w:r>
      <w:r>
        <w:fldChar w:fldCharType="end"/>
      </w:r>
      <w:r>
        <w:rPr>
          <w:rFonts w:ascii="黑体" w:eastAsia="黑体"/>
          <w:color w:val="000000"/>
          <w:szCs w:val="48"/>
        </w:rPr>
        <w:fldChar w:fldCharType="end"/>
      </w:r>
    </w:p>
    <w:p>
      <w:pPr>
        <w:pStyle w:val="21"/>
        <w:tabs>
          <w:tab w:val="clear" w:pos="8296"/>
          <w:tab w:val="right" w:leader="dot" w:pos="8306"/>
        </w:tabs>
      </w:pPr>
      <w:r>
        <w:rPr>
          <w:rFonts w:ascii="仿宋" w:eastAsia="仿宋"/>
        </w:rPr>
        <w:fldChar w:fldCharType="begin"/>
      </w:r>
      <w:r>
        <w:rPr>
          <w:rFonts w:ascii="仿宋" w:eastAsia="仿宋"/>
        </w:rPr>
        <w:instrText xml:space="preserve"> HYPERLINK \l _Toc23464 </w:instrText>
      </w:r>
      <w:r>
        <w:rPr>
          <w:rFonts w:ascii="仿宋" w:eastAsia="仿宋"/>
        </w:rPr>
        <w:fldChar w:fldCharType="separate"/>
      </w:r>
      <w:r>
        <w:rPr>
          <w:rFonts w:hint="eastAsia"/>
        </w:rPr>
        <w:t>一、基本职能及主要工作</w:t>
      </w:r>
      <w:r>
        <w:tab/>
      </w:r>
      <w:r>
        <w:fldChar w:fldCharType="begin"/>
      </w:r>
      <w:r>
        <w:instrText xml:space="preserve"> PAGEREF _Toc23464 </w:instrText>
      </w:r>
      <w:r>
        <w:fldChar w:fldCharType="separate"/>
      </w:r>
      <w:r>
        <w:t>4</w:t>
      </w:r>
      <w:r>
        <w:fldChar w:fldCharType="end"/>
      </w:r>
      <w:r>
        <w:rPr>
          <w:rFonts w:ascii="仿宋" w:eastAsia="仿宋"/>
          <w:color w:val="000000"/>
        </w:rPr>
        <w:fldChar w:fldCharType="end"/>
      </w:r>
    </w:p>
    <w:p>
      <w:pPr>
        <w:pStyle w:val="21"/>
        <w:tabs>
          <w:tab w:val="clear" w:pos="8296"/>
          <w:tab w:val="right" w:leader="dot" w:pos="8306"/>
        </w:tabs>
      </w:pPr>
      <w:r>
        <w:rPr>
          <w:rFonts w:ascii="仿宋" w:eastAsia="仿宋"/>
        </w:rPr>
        <w:fldChar w:fldCharType="begin"/>
      </w:r>
      <w:r>
        <w:rPr>
          <w:rFonts w:ascii="仿宋" w:eastAsia="仿宋"/>
        </w:rPr>
        <w:instrText xml:space="preserve"> HYPERLINK \l _Toc24675 </w:instrText>
      </w:r>
      <w:r>
        <w:rPr>
          <w:rFonts w:ascii="仿宋" w:eastAsia="仿宋"/>
        </w:rPr>
        <w:fldChar w:fldCharType="separate"/>
      </w:r>
      <w:r>
        <w:rPr>
          <w:rFonts w:hint="eastAsia"/>
          <w:lang w:val="en-US" w:eastAsia="zh-CN"/>
        </w:rPr>
        <w:t>二、机构设置</w:t>
      </w:r>
      <w:r>
        <w:tab/>
      </w:r>
      <w:r>
        <w:fldChar w:fldCharType="begin"/>
      </w:r>
      <w:r>
        <w:instrText xml:space="preserve"> PAGEREF _Toc24675 </w:instrText>
      </w:r>
      <w:r>
        <w:fldChar w:fldCharType="separate"/>
      </w:r>
      <w:r>
        <w:t>8</w:t>
      </w:r>
      <w:r>
        <w:fldChar w:fldCharType="end"/>
      </w:r>
      <w:r>
        <w:rPr>
          <w:rFonts w:ascii="仿宋" w:eastAsia="仿宋"/>
          <w:color w:val="000000"/>
        </w:rPr>
        <w:fldChar w:fldCharType="end"/>
      </w:r>
    </w:p>
    <w:p>
      <w:pPr>
        <w:pStyle w:val="20"/>
        <w:tabs>
          <w:tab w:val="clear" w:pos="8296"/>
          <w:tab w:val="right" w:leader="dot" w:pos="8306"/>
        </w:tabs>
      </w:pPr>
      <w:r>
        <w:rPr>
          <w:rFonts w:ascii="仿宋" w:eastAsia="仿宋"/>
        </w:rPr>
        <w:fldChar w:fldCharType="begin"/>
      </w:r>
      <w:r>
        <w:rPr>
          <w:rFonts w:ascii="仿宋" w:eastAsia="仿宋"/>
        </w:rPr>
        <w:instrText xml:space="preserve"> HYPERLINK \l _Toc2283 </w:instrText>
      </w:r>
      <w:r>
        <w:rPr>
          <w:rFonts w:ascii="仿宋" w:eastAsia="仿宋"/>
        </w:rPr>
        <w:fldChar w:fldCharType="separate"/>
      </w:r>
      <w:r>
        <w:rPr>
          <w:rFonts w:ascii="黑体" w:eastAsia="黑体" w:hint="eastAsia"/>
        </w:rPr>
        <w:t>第二部分</w:t>
      </w:r>
      <w:r>
        <w:rPr>
          <w:rFonts w:ascii="黑体" w:eastAsia="黑体" w:hint="eastAsia"/>
          <w:bCs w:val="0"/>
        </w:rPr>
        <w:t>2021年度部门决算情况说明</w:t>
      </w:r>
      <w:r>
        <w:tab/>
      </w:r>
      <w:r>
        <w:fldChar w:fldCharType="begin"/>
      </w:r>
      <w:r>
        <w:instrText xml:space="preserve"> PAGEREF _Toc2283 </w:instrText>
      </w:r>
      <w:r>
        <w:fldChar w:fldCharType="separate"/>
      </w:r>
      <w:r>
        <w:t>9</w:t>
      </w:r>
      <w:r>
        <w:fldChar w:fldCharType="end"/>
      </w:r>
      <w:r>
        <w:rPr>
          <w:rFonts w:ascii="仿宋" w:eastAsia="仿宋"/>
          <w:color w:val="000000"/>
        </w:rPr>
        <w:fldChar w:fldCharType="end"/>
      </w:r>
    </w:p>
    <w:p>
      <w:pPr>
        <w:pStyle w:val="21"/>
        <w:tabs>
          <w:tab w:val="clear" w:pos="8296"/>
          <w:tab w:val="right" w:leader="dot" w:pos="8306"/>
        </w:tabs>
      </w:pPr>
      <w:r>
        <w:rPr>
          <w:rFonts w:ascii="仿宋" w:eastAsia="仿宋"/>
        </w:rPr>
        <w:fldChar w:fldCharType="begin"/>
      </w:r>
      <w:r>
        <w:rPr>
          <w:rFonts w:ascii="仿宋" w:eastAsia="仿宋"/>
        </w:rPr>
        <w:instrText xml:space="preserve"> HYPERLINK \l _Toc16598 </w:instrText>
      </w:r>
      <w:r>
        <w:rPr>
          <w:rFonts w:ascii="仿宋" w:eastAsia="仿宋"/>
        </w:rPr>
        <w:fldChar w:fldCharType="separate"/>
      </w:r>
      <w:r>
        <w:rPr>
          <w:rFonts w:ascii="黑体" w:eastAsia="黑体" w:hint="eastAsia"/>
          <w:szCs w:val="32"/>
        </w:rPr>
        <w:t>一、收入</w:t>
      </w:r>
      <w:r>
        <w:rPr>
          <w:rFonts w:ascii="黑体" w:eastAsia="黑体" w:hint="eastAsia"/>
        </w:rPr>
        <w:t>支出决算总体情况说明</w:t>
      </w:r>
      <w:r>
        <w:tab/>
      </w:r>
      <w:r>
        <w:fldChar w:fldCharType="begin"/>
      </w:r>
      <w:r>
        <w:instrText xml:space="preserve"> PAGEREF _Toc16598 </w:instrText>
      </w:r>
      <w:r>
        <w:fldChar w:fldCharType="separate"/>
      </w:r>
      <w:r>
        <w:t>9</w:t>
      </w:r>
      <w:r>
        <w:fldChar w:fldCharType="end"/>
      </w:r>
      <w:r>
        <w:rPr>
          <w:rFonts w:ascii="仿宋" w:eastAsia="仿宋"/>
          <w:color w:val="000000"/>
        </w:rPr>
        <w:fldChar w:fldCharType="end"/>
      </w:r>
    </w:p>
    <w:p>
      <w:pPr>
        <w:pStyle w:val="21"/>
        <w:tabs>
          <w:tab w:val="clear" w:pos="8296"/>
          <w:tab w:val="right" w:leader="dot" w:pos="8306"/>
        </w:tabs>
      </w:pPr>
      <w:r>
        <w:rPr>
          <w:rFonts w:ascii="仿宋" w:eastAsia="仿宋"/>
        </w:rPr>
        <w:fldChar w:fldCharType="begin"/>
      </w:r>
      <w:r>
        <w:rPr>
          <w:rFonts w:ascii="仿宋" w:eastAsia="仿宋"/>
        </w:rPr>
        <w:instrText xml:space="preserve"> HYPERLINK \l _Toc17278 </w:instrText>
      </w:r>
      <w:r>
        <w:rPr>
          <w:rFonts w:ascii="仿宋" w:eastAsia="仿宋"/>
        </w:rPr>
        <w:fldChar w:fldCharType="separate"/>
      </w:r>
      <w:r>
        <w:rPr>
          <w:rFonts w:ascii="黑体" w:eastAsia="黑体" w:hint="eastAsia"/>
        </w:rPr>
        <w:t>二、收入决算情况说明</w:t>
      </w:r>
      <w:r>
        <w:tab/>
      </w:r>
      <w:r>
        <w:fldChar w:fldCharType="begin"/>
      </w:r>
      <w:r>
        <w:instrText xml:space="preserve"> PAGEREF _Toc17278 </w:instrText>
      </w:r>
      <w:r>
        <w:fldChar w:fldCharType="separate"/>
      </w:r>
      <w:r>
        <w:t>9</w:t>
      </w:r>
      <w:r>
        <w:fldChar w:fldCharType="end"/>
      </w:r>
      <w:r>
        <w:rPr>
          <w:rFonts w:ascii="仿宋" w:eastAsia="仿宋"/>
          <w:color w:val="000000"/>
        </w:rPr>
        <w:fldChar w:fldCharType="end"/>
      </w:r>
    </w:p>
    <w:p>
      <w:pPr>
        <w:pStyle w:val="21"/>
        <w:tabs>
          <w:tab w:val="clear" w:pos="8296"/>
          <w:tab w:val="right" w:leader="dot" w:pos="8306"/>
        </w:tabs>
      </w:pPr>
      <w:r>
        <w:rPr>
          <w:rFonts w:ascii="仿宋" w:eastAsia="仿宋"/>
        </w:rPr>
        <w:fldChar w:fldCharType="begin"/>
      </w:r>
      <w:r>
        <w:rPr>
          <w:rFonts w:ascii="仿宋" w:eastAsia="仿宋"/>
        </w:rPr>
        <w:instrText xml:space="preserve"> HYPERLINK \l _Toc16257 </w:instrText>
      </w:r>
      <w:r>
        <w:rPr>
          <w:rFonts w:ascii="仿宋" w:eastAsia="仿宋"/>
        </w:rPr>
        <w:fldChar w:fldCharType="separate"/>
      </w:r>
      <w:r>
        <w:rPr>
          <w:rFonts w:ascii="黑体" w:eastAsia="黑体" w:hint="eastAsia"/>
          <w:szCs w:val="32"/>
        </w:rPr>
        <w:t>三、支出</w:t>
      </w:r>
      <w:r>
        <w:rPr>
          <w:rFonts w:ascii="黑体" w:eastAsia="黑体" w:hint="eastAsia"/>
        </w:rPr>
        <w:t>决算情况说明</w:t>
      </w:r>
      <w:r>
        <w:tab/>
      </w:r>
      <w:r>
        <w:fldChar w:fldCharType="begin"/>
      </w:r>
      <w:r>
        <w:instrText xml:space="preserve"> PAGEREF _Toc16257 </w:instrText>
      </w:r>
      <w:r>
        <w:fldChar w:fldCharType="separate"/>
      </w:r>
      <w:r>
        <w:t>10</w:t>
      </w:r>
      <w:r>
        <w:fldChar w:fldCharType="end"/>
      </w:r>
      <w:r>
        <w:rPr>
          <w:rFonts w:ascii="仿宋" w:eastAsia="仿宋"/>
          <w:color w:val="000000"/>
        </w:rPr>
        <w:fldChar w:fldCharType="end"/>
      </w:r>
    </w:p>
    <w:p>
      <w:pPr>
        <w:pStyle w:val="21"/>
        <w:tabs>
          <w:tab w:val="clear" w:pos="8296"/>
          <w:tab w:val="right" w:leader="dot" w:pos="8306"/>
        </w:tabs>
      </w:pPr>
      <w:r>
        <w:rPr>
          <w:rFonts w:ascii="仿宋" w:eastAsia="仿宋"/>
        </w:rPr>
        <w:fldChar w:fldCharType="begin"/>
      </w:r>
      <w:r>
        <w:rPr>
          <w:rFonts w:ascii="仿宋" w:eastAsia="仿宋"/>
        </w:rPr>
        <w:instrText xml:space="preserve"> HYPERLINK \l _Toc30197 </w:instrText>
      </w:r>
      <w:r>
        <w:rPr>
          <w:rFonts w:ascii="仿宋" w:eastAsia="仿宋"/>
        </w:rPr>
        <w:fldChar w:fldCharType="separate"/>
      </w:r>
      <w:r>
        <w:rPr>
          <w:rFonts w:ascii="黑体" w:eastAsia="黑体" w:hint="eastAsia"/>
          <w:szCs w:val="32"/>
        </w:rPr>
        <w:t>四、财</w:t>
      </w:r>
      <w:r>
        <w:rPr>
          <w:rFonts w:ascii="黑体" w:eastAsia="黑体" w:hint="eastAsia"/>
        </w:rPr>
        <w:t>政拨款收入支出决算总体情况说明</w:t>
      </w:r>
      <w:r>
        <w:tab/>
      </w:r>
      <w:r>
        <w:fldChar w:fldCharType="begin"/>
      </w:r>
      <w:r>
        <w:instrText xml:space="preserve"> PAGEREF _Toc30197 </w:instrText>
      </w:r>
      <w:r>
        <w:fldChar w:fldCharType="separate"/>
      </w:r>
      <w:r>
        <w:t>10</w:t>
      </w:r>
      <w:r>
        <w:fldChar w:fldCharType="end"/>
      </w:r>
      <w:r>
        <w:rPr>
          <w:rFonts w:ascii="仿宋" w:eastAsia="仿宋"/>
          <w:color w:val="000000"/>
        </w:rPr>
        <w:fldChar w:fldCharType="end"/>
      </w:r>
    </w:p>
    <w:p>
      <w:pPr>
        <w:pStyle w:val="21"/>
        <w:tabs>
          <w:tab w:val="clear" w:pos="8296"/>
          <w:tab w:val="right" w:leader="dot" w:pos="8306"/>
        </w:tabs>
      </w:pPr>
      <w:r>
        <w:rPr>
          <w:rFonts w:ascii="仿宋" w:eastAsia="仿宋"/>
        </w:rPr>
        <w:fldChar w:fldCharType="begin"/>
      </w:r>
      <w:r>
        <w:rPr>
          <w:rFonts w:ascii="仿宋" w:eastAsia="仿宋"/>
        </w:rPr>
        <w:instrText xml:space="preserve"> HYPERLINK \l _Toc28620 </w:instrText>
      </w:r>
      <w:r>
        <w:rPr>
          <w:rFonts w:ascii="仿宋" w:eastAsia="仿宋"/>
        </w:rPr>
        <w:fldChar w:fldCharType="separate"/>
      </w:r>
      <w:r>
        <w:rPr>
          <w:rFonts w:ascii="黑体" w:eastAsia="黑体" w:hint="eastAsia"/>
          <w:szCs w:val="32"/>
        </w:rPr>
        <w:t>五、一</w:t>
      </w:r>
      <w:r>
        <w:rPr>
          <w:rFonts w:ascii="黑体" w:eastAsia="黑体" w:hint="eastAsia"/>
        </w:rPr>
        <w:t>般公共预算财政拨款支出决算情况说明</w:t>
      </w:r>
      <w:r>
        <w:tab/>
      </w:r>
      <w:r>
        <w:fldChar w:fldCharType="begin"/>
      </w:r>
      <w:r>
        <w:instrText xml:space="preserve"> PAGEREF _Toc28620 </w:instrText>
      </w:r>
      <w:r>
        <w:fldChar w:fldCharType="separate"/>
      </w:r>
      <w:r>
        <w:t>11</w:t>
      </w:r>
      <w:r>
        <w:fldChar w:fldCharType="end"/>
      </w:r>
      <w:r>
        <w:rPr>
          <w:rFonts w:ascii="仿宋" w:eastAsia="仿宋"/>
          <w:color w:val="000000"/>
        </w:rPr>
        <w:fldChar w:fldCharType="end"/>
      </w:r>
    </w:p>
    <w:p>
      <w:pPr>
        <w:pStyle w:val="21"/>
        <w:tabs>
          <w:tab w:val="clear" w:pos="8296"/>
          <w:tab w:val="right" w:leader="dot" w:pos="8306"/>
        </w:tabs>
      </w:pPr>
      <w:r>
        <w:rPr>
          <w:rFonts w:ascii="仿宋" w:eastAsia="仿宋"/>
        </w:rPr>
        <w:fldChar w:fldCharType="begin"/>
      </w:r>
      <w:r>
        <w:rPr>
          <w:rFonts w:ascii="仿宋" w:eastAsia="仿宋"/>
        </w:rPr>
        <w:instrText xml:space="preserve"> HYPERLINK \l _Toc5283 </w:instrText>
      </w:r>
      <w:r>
        <w:rPr>
          <w:rFonts w:ascii="仿宋" w:eastAsia="仿宋"/>
        </w:rPr>
        <w:fldChar w:fldCharType="separate"/>
      </w:r>
      <w:r>
        <w:rPr>
          <w:rFonts w:ascii="黑体" w:eastAsia="黑体" w:hint="eastAsia"/>
          <w:szCs w:val="32"/>
        </w:rPr>
        <w:t>六、一</w:t>
      </w:r>
      <w:r>
        <w:rPr>
          <w:rFonts w:ascii="黑体" w:eastAsia="黑体" w:hint="eastAsia"/>
        </w:rPr>
        <w:t>般公共预算财政拨款基本支出决算情况说明</w:t>
      </w:r>
      <w:r>
        <w:tab/>
      </w:r>
      <w:r>
        <w:fldChar w:fldCharType="begin"/>
      </w:r>
      <w:r>
        <w:instrText xml:space="preserve"> PAGEREF _Toc5283 </w:instrText>
      </w:r>
      <w:r>
        <w:fldChar w:fldCharType="separate"/>
      </w:r>
      <w:r>
        <w:t>13</w:t>
      </w:r>
      <w:r>
        <w:fldChar w:fldCharType="end"/>
      </w:r>
      <w:r>
        <w:rPr>
          <w:rFonts w:ascii="仿宋" w:eastAsia="仿宋"/>
          <w:color w:val="000000"/>
        </w:rPr>
        <w:fldChar w:fldCharType="end"/>
      </w:r>
    </w:p>
    <w:p>
      <w:pPr>
        <w:pStyle w:val="21"/>
        <w:tabs>
          <w:tab w:val="clear" w:pos="8296"/>
          <w:tab w:val="right" w:leader="dot" w:pos="8306"/>
        </w:tabs>
      </w:pPr>
      <w:r>
        <w:rPr>
          <w:rFonts w:ascii="仿宋" w:eastAsia="仿宋"/>
        </w:rPr>
        <w:fldChar w:fldCharType="begin"/>
      </w:r>
      <w:r>
        <w:rPr>
          <w:rFonts w:ascii="仿宋" w:eastAsia="仿宋"/>
        </w:rPr>
        <w:instrText xml:space="preserve"> HYPERLINK \l _Toc28988 </w:instrText>
      </w:r>
      <w:r>
        <w:rPr>
          <w:rFonts w:ascii="仿宋" w:eastAsia="仿宋"/>
        </w:rPr>
        <w:fldChar w:fldCharType="separate"/>
      </w:r>
      <w:r>
        <w:rPr>
          <w:rFonts w:ascii="黑体" w:eastAsia="黑体" w:hint="eastAsia"/>
          <w:szCs w:val="32"/>
        </w:rPr>
        <w:t>七、</w:t>
      </w:r>
      <w:r>
        <w:rPr>
          <w:rFonts w:ascii="黑体" w:eastAsia="黑体" w:hint="eastAsia"/>
        </w:rPr>
        <w:t>“三公”经费财政拨款支出决算情况说明</w:t>
      </w:r>
      <w:r>
        <w:tab/>
      </w:r>
      <w:r>
        <w:fldChar w:fldCharType="begin"/>
      </w:r>
      <w:r>
        <w:instrText xml:space="preserve"> PAGEREF _Toc28988 </w:instrText>
      </w:r>
      <w:r>
        <w:fldChar w:fldCharType="separate"/>
      </w:r>
      <w:r>
        <w:t>13</w:t>
      </w:r>
      <w:r>
        <w:fldChar w:fldCharType="end"/>
      </w:r>
      <w:r>
        <w:rPr>
          <w:rFonts w:ascii="仿宋" w:eastAsia="仿宋"/>
          <w:color w:val="000000"/>
        </w:rPr>
        <w:fldChar w:fldCharType="end"/>
      </w:r>
    </w:p>
    <w:p>
      <w:pPr>
        <w:pStyle w:val="21"/>
        <w:tabs>
          <w:tab w:val="clear" w:pos="8296"/>
          <w:tab w:val="right" w:leader="dot" w:pos="8306"/>
        </w:tabs>
      </w:pPr>
      <w:r>
        <w:rPr>
          <w:rFonts w:ascii="仿宋" w:eastAsia="仿宋"/>
        </w:rPr>
        <w:fldChar w:fldCharType="begin"/>
      </w:r>
      <w:r>
        <w:rPr>
          <w:rFonts w:ascii="仿宋" w:eastAsia="仿宋"/>
        </w:rPr>
        <w:instrText xml:space="preserve"> HYPERLINK \l _Toc13187 </w:instrText>
      </w:r>
      <w:r>
        <w:rPr>
          <w:rFonts w:ascii="仿宋" w:eastAsia="仿宋"/>
        </w:rPr>
        <w:fldChar w:fldCharType="separate"/>
      </w:r>
      <w:r>
        <w:rPr>
          <w:rFonts w:ascii="黑体" w:eastAsia="黑体" w:hint="eastAsia"/>
          <w:szCs w:val="32"/>
        </w:rPr>
        <w:t>八、</w:t>
      </w:r>
      <w:r>
        <w:rPr>
          <w:rFonts w:ascii="黑体" w:eastAsia="黑体" w:hint="eastAsia"/>
        </w:rPr>
        <w:t>政府性基金预算支出决算情况说明</w:t>
      </w:r>
      <w:r>
        <w:tab/>
      </w:r>
      <w:r>
        <w:fldChar w:fldCharType="begin"/>
      </w:r>
      <w:r>
        <w:instrText xml:space="preserve"> PAGEREF _Toc13187 </w:instrText>
      </w:r>
      <w:r>
        <w:fldChar w:fldCharType="separate"/>
      </w:r>
      <w:r>
        <w:t>15</w:t>
      </w:r>
      <w:r>
        <w:fldChar w:fldCharType="end"/>
      </w:r>
      <w:r>
        <w:rPr>
          <w:rFonts w:ascii="仿宋" w:eastAsia="仿宋"/>
          <w:color w:val="000000"/>
        </w:rPr>
        <w:fldChar w:fldCharType="end"/>
      </w:r>
    </w:p>
    <w:p>
      <w:pPr>
        <w:pStyle w:val="21"/>
        <w:tabs>
          <w:tab w:val="clear" w:pos="8296"/>
          <w:tab w:val="right" w:leader="dot" w:pos="8306"/>
        </w:tabs>
      </w:pPr>
      <w:r>
        <w:rPr>
          <w:rFonts w:ascii="仿宋" w:eastAsia="仿宋"/>
        </w:rPr>
        <w:fldChar w:fldCharType="begin"/>
      </w:r>
      <w:r>
        <w:rPr>
          <w:rFonts w:ascii="仿宋" w:eastAsia="仿宋"/>
        </w:rPr>
        <w:instrText xml:space="preserve"> HYPERLINK \l _Toc30762 </w:instrText>
      </w:r>
      <w:r>
        <w:rPr>
          <w:rFonts w:ascii="仿宋" w:eastAsia="仿宋"/>
        </w:rPr>
        <w:fldChar w:fldCharType="separate"/>
      </w:r>
      <w:r>
        <w:rPr>
          <w:rFonts w:ascii="黑体" w:eastAsia="黑体" w:hint="eastAsia"/>
        </w:rPr>
        <w:t>九、 国有资本经营预算支出决算情况说明</w:t>
      </w:r>
      <w:r>
        <w:tab/>
      </w:r>
      <w:r>
        <w:fldChar w:fldCharType="begin"/>
      </w:r>
      <w:r>
        <w:instrText xml:space="preserve"> PAGEREF _Toc30762 </w:instrText>
      </w:r>
      <w:r>
        <w:fldChar w:fldCharType="separate"/>
      </w:r>
      <w:r>
        <w:t>16</w:t>
      </w:r>
      <w:r>
        <w:fldChar w:fldCharType="end"/>
      </w:r>
      <w:r>
        <w:rPr>
          <w:rFonts w:ascii="仿宋" w:eastAsia="仿宋"/>
          <w:color w:val="000000"/>
        </w:rPr>
        <w:fldChar w:fldCharType="end"/>
      </w:r>
    </w:p>
    <w:p>
      <w:pPr>
        <w:pStyle w:val="21"/>
        <w:tabs>
          <w:tab w:val="clear" w:pos="8296"/>
          <w:tab w:val="right" w:leader="dot" w:pos="8306"/>
        </w:tabs>
      </w:pPr>
      <w:r>
        <w:rPr>
          <w:rFonts w:ascii="仿宋" w:eastAsia="仿宋"/>
        </w:rPr>
        <w:fldChar w:fldCharType="begin"/>
      </w:r>
      <w:r>
        <w:rPr>
          <w:rFonts w:ascii="仿宋" w:eastAsia="仿宋"/>
        </w:rPr>
        <w:instrText xml:space="preserve"> HYPERLINK \l _Toc3249 </w:instrText>
      </w:r>
      <w:r>
        <w:rPr>
          <w:rFonts w:ascii="仿宋" w:eastAsia="仿宋"/>
        </w:rPr>
        <w:fldChar w:fldCharType="separate"/>
      </w:r>
      <w:r>
        <w:rPr>
          <w:rFonts w:ascii="黑体" w:eastAsia="黑体" w:hint="eastAsia"/>
        </w:rPr>
        <w:t>十、 其他重要事项的情况说明</w:t>
      </w:r>
      <w:r>
        <w:tab/>
      </w:r>
      <w:r>
        <w:fldChar w:fldCharType="begin"/>
      </w:r>
      <w:r>
        <w:instrText xml:space="preserve"> PAGEREF _Toc3249 </w:instrText>
      </w:r>
      <w:r>
        <w:fldChar w:fldCharType="separate"/>
      </w:r>
      <w:r>
        <w:t>16</w:t>
      </w:r>
      <w:r>
        <w:fldChar w:fldCharType="end"/>
      </w:r>
      <w:r>
        <w:rPr>
          <w:rFonts w:ascii="仿宋" w:eastAsia="仿宋"/>
          <w:color w:val="000000"/>
        </w:rPr>
        <w:fldChar w:fldCharType="end"/>
      </w:r>
    </w:p>
    <w:p>
      <w:pPr>
        <w:pStyle w:val="20"/>
        <w:tabs>
          <w:tab w:val="clear" w:pos="8296"/>
          <w:tab w:val="right" w:leader="dot" w:pos="8306"/>
        </w:tabs>
      </w:pPr>
      <w:r>
        <w:rPr>
          <w:rFonts w:ascii="仿宋" w:eastAsia="仿宋"/>
        </w:rPr>
        <w:fldChar w:fldCharType="begin"/>
      </w:r>
      <w:r>
        <w:rPr>
          <w:rFonts w:ascii="仿宋" w:eastAsia="仿宋"/>
        </w:rPr>
        <w:instrText xml:space="preserve"> HYPERLINK \l _Toc22747 </w:instrText>
      </w:r>
      <w:r>
        <w:rPr>
          <w:rFonts w:ascii="仿宋" w:eastAsia="仿宋"/>
        </w:rPr>
        <w:fldChar w:fldCharType="separate"/>
      </w:r>
      <w:r>
        <w:rPr>
          <w:rFonts w:ascii="黑体" w:eastAsia="黑体" w:hint="eastAsia"/>
        </w:rPr>
        <w:t>第三部分  名词解释</w:t>
      </w:r>
      <w:r>
        <w:tab/>
      </w:r>
      <w:r>
        <w:fldChar w:fldCharType="begin"/>
      </w:r>
      <w:r>
        <w:instrText xml:space="preserve"> PAGEREF _Toc22747 </w:instrText>
      </w:r>
      <w:r>
        <w:fldChar w:fldCharType="separate"/>
      </w:r>
      <w:r>
        <w:t>18</w:t>
      </w:r>
      <w:r>
        <w:fldChar w:fldCharType="end"/>
      </w:r>
      <w:r>
        <w:rPr>
          <w:rFonts w:ascii="仿宋" w:eastAsia="仿宋"/>
          <w:color w:val="000000"/>
        </w:rPr>
        <w:fldChar w:fldCharType="end"/>
      </w:r>
    </w:p>
    <w:p>
      <w:pPr>
        <w:pStyle w:val="20"/>
        <w:tabs>
          <w:tab w:val="clear" w:pos="8296"/>
          <w:tab w:val="right" w:leader="dot" w:pos="8306"/>
        </w:tabs>
      </w:pPr>
      <w:r>
        <w:rPr>
          <w:rFonts w:ascii="仿宋" w:eastAsia="仿宋"/>
        </w:rPr>
        <w:fldChar w:fldCharType="begin"/>
      </w:r>
      <w:r>
        <w:rPr>
          <w:rFonts w:ascii="仿宋" w:eastAsia="仿宋"/>
        </w:rPr>
        <w:instrText xml:space="preserve"> HYPERLINK \l _Toc907 </w:instrText>
      </w:r>
      <w:r>
        <w:rPr>
          <w:rFonts w:ascii="仿宋" w:eastAsia="仿宋"/>
        </w:rPr>
        <w:fldChar w:fldCharType="separate"/>
      </w:r>
      <w:r>
        <w:rPr>
          <w:rFonts w:ascii="黑体" w:eastAsia="黑体" w:hint="eastAsia"/>
          <w:szCs w:val="44"/>
        </w:rPr>
        <w:t>第</w:t>
      </w:r>
      <w:r>
        <w:rPr>
          <w:rFonts w:ascii="黑体" w:eastAsia="黑体" w:hint="eastAsia"/>
        </w:rPr>
        <w:t>四部分 附件</w:t>
      </w:r>
      <w:r>
        <w:tab/>
      </w:r>
      <w:r>
        <w:fldChar w:fldCharType="begin"/>
      </w:r>
      <w:r>
        <w:instrText xml:space="preserve"> PAGEREF _Toc907 </w:instrText>
      </w:r>
      <w:r>
        <w:fldChar w:fldCharType="separate"/>
      </w:r>
      <w:r>
        <w:t>21</w:t>
      </w:r>
      <w:r>
        <w:fldChar w:fldCharType="end"/>
      </w:r>
      <w:r>
        <w:rPr>
          <w:rFonts w:ascii="仿宋" w:eastAsia="仿宋"/>
          <w:color w:val="000000"/>
        </w:rPr>
        <w:fldChar w:fldCharType="end"/>
      </w:r>
    </w:p>
    <w:p>
      <w:pPr>
        <w:pStyle w:val="21"/>
        <w:tabs>
          <w:tab w:val="clear" w:pos="8296"/>
          <w:tab w:val="right" w:leader="dot" w:pos="8306"/>
        </w:tabs>
      </w:pPr>
      <w:r>
        <w:rPr>
          <w:rFonts w:ascii="仿宋" w:eastAsia="仿宋"/>
        </w:rPr>
        <w:fldChar w:fldCharType="begin"/>
      </w:r>
      <w:r>
        <w:rPr>
          <w:rFonts w:ascii="仿宋" w:eastAsia="仿宋"/>
        </w:rPr>
        <w:instrText xml:space="preserve"> HYPERLINK \l _Toc4254 </w:instrText>
      </w:r>
      <w:r>
        <w:rPr>
          <w:rFonts w:ascii="仿宋" w:eastAsia="仿宋"/>
        </w:rPr>
        <w:fldChar w:fldCharType="separate"/>
      </w:r>
      <w:r>
        <w:rPr>
          <w:rFonts w:hint="eastAsia"/>
        </w:rPr>
        <w:t>附件1</w:t>
      </w:r>
      <w:r>
        <w:tab/>
      </w:r>
      <w:r>
        <w:fldChar w:fldCharType="begin"/>
      </w:r>
      <w:r>
        <w:instrText xml:space="preserve"> PAGEREF _Toc4254 </w:instrText>
      </w:r>
      <w:r>
        <w:fldChar w:fldCharType="separate"/>
      </w:r>
      <w:r>
        <w:t>21</w:t>
      </w:r>
      <w:r>
        <w:fldChar w:fldCharType="end"/>
      </w:r>
      <w:r>
        <w:rPr>
          <w:rFonts w:ascii="仿宋" w:eastAsia="仿宋"/>
          <w:color w:val="000000"/>
        </w:rPr>
        <w:fldChar w:fldCharType="end"/>
      </w:r>
    </w:p>
    <w:p>
      <w:pPr>
        <w:pStyle w:val="21"/>
        <w:tabs>
          <w:tab w:val="clear" w:pos="8296"/>
          <w:tab w:val="right" w:leader="dot" w:pos="8306"/>
        </w:tabs>
      </w:pPr>
      <w:r>
        <w:rPr>
          <w:rFonts w:ascii="仿宋" w:eastAsia="仿宋"/>
        </w:rPr>
        <w:fldChar w:fldCharType="begin"/>
      </w:r>
      <w:r>
        <w:rPr>
          <w:rFonts w:ascii="仿宋" w:eastAsia="仿宋"/>
        </w:rPr>
        <w:instrText xml:space="preserve"> HYPERLINK \l _Toc20972 </w:instrText>
      </w:r>
      <w:r>
        <w:rPr>
          <w:rFonts w:ascii="仿宋" w:eastAsia="仿宋"/>
        </w:rPr>
        <w:fldChar w:fldCharType="separate"/>
      </w:r>
      <w:r>
        <w:rPr>
          <w:rFonts w:hint="eastAsia"/>
        </w:rPr>
        <w:t>附件2</w:t>
      </w:r>
      <w:r>
        <w:tab/>
      </w:r>
      <w:r>
        <w:fldChar w:fldCharType="begin"/>
      </w:r>
      <w:r>
        <w:instrText xml:space="preserve"> PAGEREF _Toc20972 </w:instrText>
      </w:r>
      <w:r>
        <w:fldChar w:fldCharType="separate"/>
      </w:r>
      <w:r>
        <w:t>26</w:t>
      </w:r>
      <w:r>
        <w:fldChar w:fldCharType="end"/>
      </w:r>
      <w:r>
        <w:rPr>
          <w:rFonts w:ascii="仿宋" w:eastAsia="仿宋"/>
          <w:color w:val="000000"/>
        </w:rPr>
        <w:fldChar w:fldCharType="end"/>
      </w:r>
    </w:p>
    <w:p>
      <w:pPr>
        <w:pStyle w:val="21"/>
        <w:tabs>
          <w:tab w:val="clear" w:pos="8296"/>
          <w:tab w:val="right" w:leader="dot" w:pos="8306"/>
        </w:tabs>
      </w:pPr>
      <w:r>
        <w:rPr>
          <w:rFonts w:ascii="仿宋" w:eastAsia="仿宋"/>
        </w:rPr>
        <w:fldChar w:fldCharType="begin"/>
      </w:r>
      <w:r>
        <w:rPr>
          <w:rFonts w:ascii="仿宋" w:eastAsia="仿宋"/>
        </w:rPr>
        <w:instrText xml:space="preserve"> HYPERLINK \l _Toc25761 </w:instrText>
      </w:r>
      <w:r>
        <w:rPr>
          <w:rFonts w:ascii="仿宋" w:eastAsia="仿宋"/>
        </w:rPr>
        <w:fldChar w:fldCharType="separate"/>
      </w:r>
      <w:r>
        <w:rPr>
          <w:rFonts w:hint="eastAsia"/>
          <w:lang w:val="en-US" w:eastAsia="zh-CN"/>
        </w:rPr>
        <w:t>附件3</w:t>
      </w:r>
      <w:r>
        <w:tab/>
      </w:r>
      <w:r>
        <w:fldChar w:fldCharType="begin"/>
      </w:r>
      <w:r>
        <w:instrText xml:space="preserve"> PAGEREF _Toc25761 </w:instrText>
      </w:r>
      <w:r>
        <w:fldChar w:fldCharType="separate"/>
      </w:r>
      <w:r>
        <w:t>41</w:t>
      </w:r>
      <w:r>
        <w:fldChar w:fldCharType="end"/>
      </w:r>
      <w:r>
        <w:rPr>
          <w:rFonts w:ascii="仿宋" w:eastAsia="仿宋"/>
          <w:color w:val="000000"/>
        </w:rPr>
        <w:fldChar w:fldCharType="end"/>
      </w:r>
    </w:p>
    <w:p>
      <w:pPr>
        <w:pStyle w:val="21"/>
        <w:tabs>
          <w:tab w:val="clear" w:pos="8296"/>
          <w:tab w:val="right" w:leader="dot" w:pos="8306"/>
        </w:tabs>
      </w:pPr>
      <w:r>
        <w:rPr>
          <w:rFonts w:ascii="仿宋" w:eastAsia="仿宋"/>
        </w:rPr>
        <w:fldChar w:fldCharType="begin"/>
      </w:r>
      <w:r>
        <w:rPr>
          <w:rFonts w:ascii="仿宋" w:eastAsia="仿宋"/>
        </w:rPr>
        <w:instrText xml:space="preserve"> HYPERLINK \l _Toc14363 </w:instrText>
      </w:r>
      <w:r>
        <w:rPr>
          <w:rFonts w:ascii="仿宋" w:eastAsia="仿宋"/>
        </w:rPr>
        <w:fldChar w:fldCharType="separate"/>
      </w:r>
      <w:r>
        <w:rPr>
          <w:rFonts w:hint="eastAsia"/>
          <w:lang w:val="en-US" w:eastAsia="zh-CN"/>
        </w:rPr>
        <w:t>附件4</w:t>
      </w:r>
      <w:r>
        <w:tab/>
      </w:r>
      <w:r>
        <w:fldChar w:fldCharType="begin"/>
      </w:r>
      <w:r>
        <w:instrText xml:space="preserve"> PAGEREF _Toc14363 </w:instrText>
      </w:r>
      <w:r>
        <w:fldChar w:fldCharType="separate"/>
      </w:r>
      <w:r>
        <w:t>77</w:t>
      </w:r>
      <w:r>
        <w:fldChar w:fldCharType="end"/>
      </w:r>
      <w:r>
        <w:rPr>
          <w:rFonts w:ascii="仿宋" w:eastAsia="仿宋"/>
          <w:color w:val="000000"/>
        </w:rPr>
        <w:fldChar w:fldCharType="end"/>
      </w:r>
    </w:p>
    <w:p>
      <w:pPr>
        <w:pStyle w:val="20"/>
        <w:tabs>
          <w:tab w:val="clear" w:pos="8296"/>
          <w:tab w:val="right" w:leader="dot" w:pos="8306"/>
        </w:tabs>
      </w:pPr>
      <w:r>
        <w:rPr>
          <w:rFonts w:ascii="仿宋" w:eastAsia="仿宋"/>
        </w:rPr>
        <w:fldChar w:fldCharType="begin"/>
      </w:r>
      <w:r>
        <w:rPr>
          <w:rFonts w:ascii="仿宋" w:eastAsia="仿宋"/>
        </w:rPr>
        <w:instrText xml:space="preserve"> HYPERLINK \l _Toc11410 </w:instrText>
      </w:r>
      <w:r>
        <w:rPr>
          <w:rFonts w:ascii="仿宋" w:eastAsia="仿宋"/>
        </w:rPr>
        <w:fldChar w:fldCharType="separate"/>
      </w:r>
      <w:r>
        <w:rPr>
          <w:rFonts w:ascii="黑体" w:eastAsia="黑体" w:hint="eastAsia"/>
          <w:szCs w:val="44"/>
        </w:rPr>
        <w:t>第</w:t>
      </w:r>
      <w:r>
        <w:rPr>
          <w:rFonts w:ascii="黑体" w:eastAsia="黑体" w:hint="eastAsia"/>
        </w:rPr>
        <w:t>五部分 附表</w:t>
      </w:r>
      <w:r>
        <w:tab/>
      </w:r>
      <w:r>
        <w:fldChar w:fldCharType="begin"/>
      </w:r>
      <w:r>
        <w:instrText xml:space="preserve"> PAGEREF _Toc11410 </w:instrText>
      </w:r>
      <w:r>
        <w:fldChar w:fldCharType="separate"/>
      </w:r>
      <w:r>
        <w:t>80</w:t>
      </w:r>
      <w:r>
        <w:fldChar w:fldCharType="end"/>
      </w:r>
      <w:r>
        <w:rPr>
          <w:rFonts w:ascii="仿宋" w:eastAsia="仿宋"/>
          <w:color w:val="000000"/>
        </w:rPr>
        <w:fldChar w:fldCharType="end"/>
      </w:r>
    </w:p>
    <w:p>
      <w:pPr>
        <w:pStyle w:val="21"/>
        <w:tabs>
          <w:tab w:val="clear" w:pos="8296"/>
          <w:tab w:val="right" w:leader="dot" w:pos="8306"/>
        </w:tabs>
      </w:pPr>
      <w:r>
        <w:rPr>
          <w:rFonts w:ascii="仿宋" w:eastAsia="仿宋"/>
        </w:rPr>
        <w:fldChar w:fldCharType="begin"/>
      </w:r>
      <w:r>
        <w:rPr>
          <w:rFonts w:ascii="仿宋" w:eastAsia="仿宋"/>
        </w:rPr>
        <w:instrText xml:space="preserve"> HYPERLINK \l _Toc3434 </w:instrText>
      </w:r>
      <w:r>
        <w:rPr>
          <w:rFonts w:ascii="仿宋" w:eastAsia="仿宋"/>
        </w:rPr>
        <w:fldChar w:fldCharType="separate"/>
      </w:r>
      <w:r>
        <w:rPr>
          <w:rFonts w:ascii="仿宋_GB2312" w:eastAsia="仿宋_GB2312" w:cs="仿宋_GB2312" w:hint="eastAsia"/>
          <w:szCs w:val="30"/>
        </w:rPr>
        <w:t>一、收</w:t>
      </w:r>
      <w:r>
        <w:rPr>
          <w:rFonts w:ascii="仿宋_GB2312" w:eastAsia="仿宋_GB2312" w:cs="仿宋_GB2312" w:hint="eastAsia"/>
          <w:bCs w:val="0"/>
          <w:szCs w:val="30"/>
        </w:rPr>
        <w:t>入支出决算总表</w:t>
      </w:r>
      <w:r>
        <w:tab/>
      </w:r>
      <w:r>
        <w:fldChar w:fldCharType="begin"/>
      </w:r>
      <w:r>
        <w:instrText xml:space="preserve"> PAGEREF _Toc3434 </w:instrText>
      </w:r>
      <w:r>
        <w:fldChar w:fldCharType="separate"/>
      </w:r>
      <w:r>
        <w:t>80</w:t>
      </w:r>
      <w:r>
        <w:fldChar w:fldCharType="end"/>
      </w:r>
      <w:r>
        <w:rPr>
          <w:rFonts w:ascii="仿宋" w:eastAsia="仿宋"/>
          <w:color w:val="000000"/>
        </w:rPr>
        <w:fldChar w:fldCharType="end"/>
      </w:r>
    </w:p>
    <w:p>
      <w:pPr>
        <w:pStyle w:val="21"/>
        <w:tabs>
          <w:tab w:val="clear" w:pos="8296"/>
          <w:tab w:val="right" w:leader="dot" w:pos="8306"/>
        </w:tabs>
      </w:pPr>
      <w:r>
        <w:rPr>
          <w:rFonts w:ascii="仿宋" w:eastAsia="仿宋"/>
        </w:rPr>
        <w:fldChar w:fldCharType="begin"/>
      </w:r>
      <w:r>
        <w:rPr>
          <w:rFonts w:ascii="仿宋" w:eastAsia="仿宋"/>
        </w:rPr>
        <w:instrText xml:space="preserve"> HYPERLINK \l _Toc20313 </w:instrText>
      </w:r>
      <w:r>
        <w:rPr>
          <w:rFonts w:ascii="仿宋" w:eastAsia="仿宋"/>
        </w:rPr>
        <w:fldChar w:fldCharType="separate"/>
      </w:r>
      <w:r>
        <w:rPr>
          <w:rFonts w:ascii="仿宋_GB2312" w:eastAsia="仿宋_GB2312" w:cs="仿宋_GB2312" w:hint="eastAsia"/>
          <w:szCs w:val="30"/>
        </w:rPr>
        <w:t>二、收</w:t>
      </w:r>
      <w:r>
        <w:rPr>
          <w:rFonts w:ascii="仿宋_GB2312" w:eastAsia="仿宋_GB2312" w:cs="仿宋_GB2312" w:hint="eastAsia"/>
          <w:bCs w:val="0"/>
          <w:szCs w:val="30"/>
        </w:rPr>
        <w:t>入决算表</w:t>
      </w:r>
      <w:r>
        <w:tab/>
      </w:r>
      <w:r>
        <w:fldChar w:fldCharType="begin"/>
      </w:r>
      <w:r>
        <w:instrText xml:space="preserve"> PAGEREF _Toc20313 </w:instrText>
      </w:r>
      <w:r>
        <w:fldChar w:fldCharType="separate"/>
      </w:r>
      <w:r>
        <w:t>80</w:t>
      </w:r>
      <w:r>
        <w:fldChar w:fldCharType="end"/>
      </w:r>
      <w:r>
        <w:rPr>
          <w:rFonts w:ascii="仿宋" w:eastAsia="仿宋"/>
          <w:color w:val="000000"/>
        </w:rPr>
        <w:fldChar w:fldCharType="end"/>
      </w:r>
    </w:p>
    <w:p>
      <w:pPr>
        <w:pStyle w:val="21"/>
        <w:tabs>
          <w:tab w:val="clear" w:pos="8296"/>
          <w:tab w:val="right" w:leader="dot" w:pos="8306"/>
        </w:tabs>
      </w:pPr>
      <w:r>
        <w:rPr>
          <w:rFonts w:ascii="仿宋" w:eastAsia="仿宋"/>
        </w:rPr>
        <w:fldChar w:fldCharType="begin"/>
      </w:r>
      <w:r>
        <w:rPr>
          <w:rFonts w:ascii="仿宋" w:eastAsia="仿宋"/>
        </w:rPr>
        <w:instrText xml:space="preserve"> HYPERLINK \l _Toc16026 </w:instrText>
      </w:r>
      <w:r>
        <w:rPr>
          <w:rFonts w:ascii="仿宋" w:eastAsia="仿宋"/>
        </w:rPr>
        <w:fldChar w:fldCharType="separate"/>
      </w:r>
      <w:r>
        <w:rPr>
          <w:rFonts w:ascii="仿宋_GB2312" w:eastAsia="仿宋_GB2312" w:cs="仿宋_GB2312" w:hint="eastAsia"/>
          <w:bCs w:val="0"/>
          <w:szCs w:val="30"/>
        </w:rPr>
        <w:t>三、</w:t>
      </w:r>
      <w:r>
        <w:rPr>
          <w:rFonts w:ascii="仿宋_GB2312" w:eastAsia="仿宋_GB2312" w:cs="仿宋_GB2312" w:hint="eastAsia"/>
          <w:szCs w:val="30"/>
        </w:rPr>
        <w:t>支</w:t>
      </w:r>
      <w:r>
        <w:rPr>
          <w:rFonts w:ascii="仿宋_GB2312" w:eastAsia="仿宋_GB2312" w:cs="仿宋_GB2312" w:hint="eastAsia"/>
          <w:bCs w:val="0"/>
          <w:szCs w:val="30"/>
        </w:rPr>
        <w:t>出决算表</w:t>
      </w:r>
      <w:r>
        <w:tab/>
      </w:r>
      <w:r>
        <w:fldChar w:fldCharType="begin"/>
      </w:r>
      <w:r>
        <w:instrText xml:space="preserve"> PAGEREF _Toc16026 </w:instrText>
      </w:r>
      <w:r>
        <w:fldChar w:fldCharType="separate"/>
      </w:r>
      <w:r>
        <w:t>80</w:t>
      </w:r>
      <w:r>
        <w:fldChar w:fldCharType="end"/>
      </w:r>
      <w:r>
        <w:rPr>
          <w:rFonts w:ascii="仿宋" w:eastAsia="仿宋"/>
          <w:color w:val="000000"/>
        </w:rPr>
        <w:fldChar w:fldCharType="end"/>
      </w:r>
    </w:p>
    <w:p>
      <w:pPr>
        <w:pStyle w:val="21"/>
        <w:tabs>
          <w:tab w:val="clear" w:pos="8296"/>
          <w:tab w:val="right" w:leader="dot" w:pos="8306"/>
        </w:tabs>
      </w:pPr>
      <w:r>
        <w:rPr>
          <w:rFonts w:ascii="仿宋" w:eastAsia="仿宋"/>
        </w:rPr>
        <w:fldChar w:fldCharType="begin"/>
      </w:r>
      <w:r>
        <w:rPr>
          <w:rFonts w:ascii="仿宋" w:eastAsia="仿宋"/>
        </w:rPr>
        <w:instrText xml:space="preserve"> HYPERLINK \l _Toc27228 </w:instrText>
      </w:r>
      <w:r>
        <w:rPr>
          <w:rFonts w:ascii="仿宋" w:eastAsia="仿宋"/>
        </w:rPr>
        <w:fldChar w:fldCharType="separate"/>
      </w:r>
      <w:r>
        <w:rPr>
          <w:rFonts w:ascii="仿宋_GB2312" w:eastAsia="仿宋_GB2312" w:cs="仿宋_GB2312" w:hint="eastAsia"/>
          <w:bCs w:val="0"/>
          <w:szCs w:val="30"/>
        </w:rPr>
        <w:t>四、</w:t>
      </w:r>
      <w:r>
        <w:rPr>
          <w:rFonts w:ascii="仿宋_GB2312" w:eastAsia="仿宋_GB2312" w:cs="仿宋_GB2312" w:hint="eastAsia"/>
          <w:szCs w:val="30"/>
        </w:rPr>
        <w:t>财</w:t>
      </w:r>
      <w:r>
        <w:rPr>
          <w:rFonts w:ascii="仿宋_GB2312" w:eastAsia="仿宋_GB2312" w:cs="仿宋_GB2312" w:hint="eastAsia"/>
          <w:bCs w:val="0"/>
          <w:szCs w:val="30"/>
        </w:rPr>
        <w:t>政拨款收入支出决算总表</w:t>
      </w:r>
      <w:r>
        <w:tab/>
      </w:r>
      <w:r>
        <w:fldChar w:fldCharType="begin"/>
      </w:r>
      <w:r>
        <w:instrText xml:space="preserve"> PAGEREF _Toc27228 </w:instrText>
      </w:r>
      <w:r>
        <w:fldChar w:fldCharType="separate"/>
      </w:r>
      <w:r>
        <w:t>80</w:t>
      </w:r>
      <w:r>
        <w:fldChar w:fldCharType="end"/>
      </w:r>
      <w:r>
        <w:rPr>
          <w:rFonts w:ascii="仿宋" w:eastAsia="仿宋"/>
          <w:color w:val="000000"/>
        </w:rPr>
        <w:fldChar w:fldCharType="end"/>
      </w:r>
    </w:p>
    <w:p>
      <w:pPr>
        <w:pStyle w:val="21"/>
        <w:tabs>
          <w:tab w:val="clear" w:pos="8296"/>
          <w:tab w:val="right" w:leader="dot" w:pos="8306"/>
        </w:tabs>
      </w:pPr>
      <w:r>
        <w:rPr>
          <w:rFonts w:ascii="仿宋" w:eastAsia="仿宋"/>
        </w:rPr>
        <w:fldChar w:fldCharType="begin"/>
      </w:r>
      <w:r>
        <w:rPr>
          <w:rFonts w:ascii="仿宋" w:eastAsia="仿宋"/>
        </w:rPr>
        <w:instrText xml:space="preserve"> HYPERLINK \l _Toc28791 </w:instrText>
      </w:r>
      <w:r>
        <w:rPr>
          <w:rFonts w:ascii="仿宋" w:eastAsia="仿宋"/>
        </w:rPr>
        <w:fldChar w:fldCharType="separate"/>
      </w:r>
      <w:r>
        <w:rPr>
          <w:rFonts w:ascii="仿宋_GB2312" w:eastAsia="仿宋_GB2312" w:cs="仿宋_GB2312" w:hint="eastAsia"/>
          <w:bCs w:val="0"/>
          <w:szCs w:val="30"/>
        </w:rPr>
        <w:t>五、</w:t>
      </w:r>
      <w:r>
        <w:rPr>
          <w:rFonts w:ascii="仿宋_GB2312" w:eastAsia="仿宋_GB2312" w:cs="仿宋_GB2312" w:hint="eastAsia"/>
          <w:szCs w:val="30"/>
        </w:rPr>
        <w:t>财</w:t>
      </w:r>
      <w:r>
        <w:rPr>
          <w:rFonts w:ascii="仿宋_GB2312" w:eastAsia="仿宋_GB2312" w:cs="仿宋_GB2312" w:hint="eastAsia"/>
          <w:bCs w:val="0"/>
          <w:szCs w:val="30"/>
        </w:rPr>
        <w:t>政拨款支出决算明细表</w:t>
      </w:r>
      <w:r>
        <w:tab/>
      </w:r>
      <w:r>
        <w:fldChar w:fldCharType="begin"/>
      </w:r>
      <w:r>
        <w:instrText xml:space="preserve"> PAGEREF _Toc28791 </w:instrText>
      </w:r>
      <w:r>
        <w:fldChar w:fldCharType="separate"/>
      </w:r>
      <w:r>
        <w:t>80</w:t>
      </w:r>
      <w:r>
        <w:fldChar w:fldCharType="end"/>
      </w:r>
      <w:r>
        <w:rPr>
          <w:rFonts w:ascii="仿宋" w:eastAsia="仿宋"/>
          <w:color w:val="000000"/>
        </w:rPr>
        <w:fldChar w:fldCharType="end"/>
      </w:r>
    </w:p>
    <w:p>
      <w:pPr>
        <w:pStyle w:val="21"/>
        <w:tabs>
          <w:tab w:val="clear" w:pos="8296"/>
          <w:tab w:val="right" w:leader="dot" w:pos="8306"/>
        </w:tabs>
      </w:pPr>
      <w:r>
        <w:rPr>
          <w:rFonts w:ascii="仿宋" w:eastAsia="仿宋"/>
        </w:rPr>
        <w:fldChar w:fldCharType="begin"/>
      </w:r>
      <w:r>
        <w:rPr>
          <w:rFonts w:ascii="仿宋" w:eastAsia="仿宋"/>
        </w:rPr>
        <w:instrText xml:space="preserve"> HYPERLINK \l _Toc8242 </w:instrText>
      </w:r>
      <w:r>
        <w:rPr>
          <w:rFonts w:ascii="仿宋" w:eastAsia="仿宋"/>
        </w:rPr>
        <w:fldChar w:fldCharType="separate"/>
      </w:r>
      <w:r>
        <w:rPr>
          <w:rFonts w:ascii="仿宋_GB2312" w:eastAsia="仿宋_GB2312" w:cs="仿宋_GB2312" w:hint="eastAsia"/>
          <w:bCs w:val="0"/>
          <w:szCs w:val="30"/>
        </w:rPr>
        <w:t>六、</w:t>
      </w:r>
      <w:r>
        <w:rPr>
          <w:rFonts w:ascii="仿宋_GB2312" w:eastAsia="仿宋_GB2312" w:cs="仿宋_GB2312" w:hint="eastAsia"/>
          <w:szCs w:val="30"/>
        </w:rPr>
        <w:t>一</w:t>
      </w:r>
      <w:r>
        <w:rPr>
          <w:rFonts w:ascii="仿宋_GB2312" w:eastAsia="仿宋_GB2312" w:cs="仿宋_GB2312" w:hint="eastAsia"/>
          <w:bCs w:val="0"/>
          <w:szCs w:val="30"/>
        </w:rPr>
        <w:t>般公共预算财政拨款支出决算表</w:t>
      </w:r>
      <w:r>
        <w:tab/>
      </w:r>
      <w:r>
        <w:fldChar w:fldCharType="begin"/>
      </w:r>
      <w:r>
        <w:instrText xml:space="preserve"> PAGEREF _Toc8242 </w:instrText>
      </w:r>
      <w:r>
        <w:fldChar w:fldCharType="separate"/>
      </w:r>
      <w:r>
        <w:t>80</w:t>
      </w:r>
      <w:r>
        <w:fldChar w:fldCharType="end"/>
      </w:r>
      <w:r>
        <w:rPr>
          <w:rFonts w:ascii="仿宋" w:eastAsia="仿宋"/>
          <w:color w:val="000000"/>
        </w:rPr>
        <w:fldChar w:fldCharType="end"/>
      </w:r>
    </w:p>
    <w:p>
      <w:pPr>
        <w:pStyle w:val="21"/>
        <w:tabs>
          <w:tab w:val="clear" w:pos="8296"/>
          <w:tab w:val="right" w:leader="dot" w:pos="8306"/>
        </w:tabs>
      </w:pPr>
      <w:r>
        <w:rPr>
          <w:rFonts w:ascii="仿宋" w:eastAsia="仿宋"/>
        </w:rPr>
        <w:fldChar w:fldCharType="begin"/>
      </w:r>
      <w:r>
        <w:rPr>
          <w:rFonts w:ascii="仿宋" w:eastAsia="仿宋"/>
        </w:rPr>
        <w:instrText xml:space="preserve"> HYPERLINK \l _Toc28752 </w:instrText>
      </w:r>
      <w:r>
        <w:rPr>
          <w:rFonts w:ascii="仿宋" w:eastAsia="仿宋"/>
        </w:rPr>
        <w:fldChar w:fldCharType="separate"/>
      </w:r>
      <w:r>
        <w:rPr>
          <w:rFonts w:ascii="仿宋_GB2312" w:eastAsia="仿宋_GB2312" w:cs="仿宋_GB2312" w:hint="eastAsia"/>
          <w:bCs w:val="0"/>
          <w:szCs w:val="30"/>
        </w:rPr>
        <w:t>七、</w:t>
      </w:r>
      <w:r>
        <w:rPr>
          <w:rFonts w:ascii="仿宋_GB2312" w:eastAsia="仿宋_GB2312" w:cs="仿宋_GB2312" w:hint="eastAsia"/>
          <w:szCs w:val="30"/>
        </w:rPr>
        <w:t>一</w:t>
      </w:r>
      <w:r>
        <w:rPr>
          <w:rFonts w:ascii="仿宋_GB2312" w:eastAsia="仿宋_GB2312" w:cs="仿宋_GB2312" w:hint="eastAsia"/>
          <w:bCs w:val="0"/>
          <w:szCs w:val="30"/>
        </w:rPr>
        <w:t>般公共预算财政拨款支出决算明细表</w:t>
      </w:r>
      <w:r>
        <w:tab/>
      </w:r>
      <w:r>
        <w:fldChar w:fldCharType="begin"/>
      </w:r>
      <w:r>
        <w:instrText xml:space="preserve"> PAGEREF _Toc28752 </w:instrText>
      </w:r>
      <w:r>
        <w:fldChar w:fldCharType="separate"/>
      </w:r>
      <w:r>
        <w:t>80</w:t>
      </w:r>
      <w:r>
        <w:fldChar w:fldCharType="end"/>
      </w:r>
      <w:r>
        <w:rPr>
          <w:rFonts w:ascii="仿宋" w:eastAsia="仿宋"/>
          <w:color w:val="000000"/>
        </w:rPr>
        <w:fldChar w:fldCharType="end"/>
      </w:r>
    </w:p>
    <w:p>
      <w:pPr>
        <w:pStyle w:val="21"/>
        <w:tabs>
          <w:tab w:val="clear" w:pos="8296"/>
          <w:tab w:val="right" w:leader="dot" w:pos="8306"/>
        </w:tabs>
      </w:pPr>
      <w:r>
        <w:rPr>
          <w:rFonts w:ascii="仿宋" w:eastAsia="仿宋"/>
        </w:rPr>
        <w:fldChar w:fldCharType="begin"/>
      </w:r>
      <w:r>
        <w:rPr>
          <w:rFonts w:ascii="仿宋" w:eastAsia="仿宋"/>
        </w:rPr>
        <w:instrText xml:space="preserve"> HYPERLINK \l _Toc12725 </w:instrText>
      </w:r>
      <w:r>
        <w:rPr>
          <w:rFonts w:ascii="仿宋" w:eastAsia="仿宋"/>
        </w:rPr>
        <w:fldChar w:fldCharType="separate"/>
      </w:r>
      <w:r>
        <w:rPr>
          <w:rFonts w:ascii="仿宋_GB2312" w:eastAsia="仿宋_GB2312" w:cs="仿宋_GB2312" w:hint="eastAsia"/>
          <w:bCs w:val="0"/>
          <w:szCs w:val="30"/>
        </w:rPr>
        <w:t>八、</w:t>
      </w:r>
      <w:r>
        <w:rPr>
          <w:rFonts w:ascii="仿宋_GB2312" w:eastAsia="仿宋_GB2312" w:cs="仿宋_GB2312" w:hint="eastAsia"/>
          <w:szCs w:val="30"/>
        </w:rPr>
        <w:t>一</w:t>
      </w:r>
      <w:r>
        <w:rPr>
          <w:rFonts w:ascii="仿宋_GB2312" w:eastAsia="仿宋_GB2312" w:cs="仿宋_GB2312" w:hint="eastAsia"/>
          <w:bCs w:val="0"/>
          <w:szCs w:val="30"/>
        </w:rPr>
        <w:t>般公共预算财政拨款基本支出决算表</w:t>
      </w:r>
      <w:r>
        <w:tab/>
      </w:r>
      <w:r>
        <w:fldChar w:fldCharType="begin"/>
      </w:r>
      <w:r>
        <w:instrText xml:space="preserve"> PAGEREF _Toc12725 </w:instrText>
      </w:r>
      <w:r>
        <w:fldChar w:fldCharType="separate"/>
      </w:r>
      <w:r>
        <w:t>80</w:t>
      </w:r>
      <w:r>
        <w:fldChar w:fldCharType="end"/>
      </w:r>
      <w:r>
        <w:rPr>
          <w:rFonts w:ascii="仿宋" w:eastAsia="仿宋"/>
          <w:color w:val="000000"/>
        </w:rPr>
        <w:fldChar w:fldCharType="end"/>
      </w:r>
    </w:p>
    <w:p>
      <w:pPr>
        <w:pStyle w:val="21"/>
        <w:tabs>
          <w:tab w:val="clear" w:pos="8296"/>
          <w:tab w:val="right" w:leader="dot" w:pos="8306"/>
        </w:tabs>
      </w:pPr>
      <w:r>
        <w:rPr>
          <w:rFonts w:ascii="仿宋" w:eastAsia="仿宋"/>
        </w:rPr>
        <w:fldChar w:fldCharType="begin"/>
      </w:r>
      <w:r>
        <w:rPr>
          <w:rFonts w:ascii="仿宋" w:eastAsia="仿宋"/>
        </w:rPr>
        <w:instrText xml:space="preserve"> HYPERLINK \l _Toc10551 </w:instrText>
      </w:r>
      <w:r>
        <w:rPr>
          <w:rFonts w:ascii="仿宋" w:eastAsia="仿宋"/>
        </w:rPr>
        <w:fldChar w:fldCharType="separate"/>
      </w:r>
      <w:r>
        <w:rPr>
          <w:rFonts w:ascii="仿宋_GB2312" w:eastAsia="仿宋_GB2312" w:cs="仿宋_GB2312" w:hint="eastAsia"/>
          <w:bCs w:val="0"/>
          <w:szCs w:val="30"/>
        </w:rPr>
        <w:t>九、</w:t>
      </w:r>
      <w:r>
        <w:rPr>
          <w:rFonts w:ascii="仿宋_GB2312" w:eastAsia="仿宋_GB2312" w:cs="仿宋_GB2312" w:hint="eastAsia"/>
          <w:szCs w:val="30"/>
        </w:rPr>
        <w:t>一</w:t>
      </w:r>
      <w:r>
        <w:rPr>
          <w:rFonts w:ascii="仿宋_GB2312" w:eastAsia="仿宋_GB2312" w:cs="仿宋_GB2312" w:hint="eastAsia"/>
          <w:bCs w:val="0"/>
          <w:szCs w:val="30"/>
        </w:rPr>
        <w:t>般公共预算财政拨款项目支出决算表</w:t>
      </w:r>
      <w:r>
        <w:tab/>
      </w:r>
      <w:r>
        <w:fldChar w:fldCharType="begin"/>
      </w:r>
      <w:r>
        <w:instrText xml:space="preserve"> PAGEREF _Toc10551 </w:instrText>
      </w:r>
      <w:r>
        <w:fldChar w:fldCharType="separate"/>
      </w:r>
      <w:r>
        <w:t>80</w:t>
      </w:r>
      <w:r>
        <w:fldChar w:fldCharType="end"/>
      </w:r>
      <w:r>
        <w:rPr>
          <w:rFonts w:ascii="仿宋" w:eastAsia="仿宋"/>
          <w:color w:val="000000"/>
        </w:rPr>
        <w:fldChar w:fldCharType="end"/>
      </w:r>
    </w:p>
    <w:p>
      <w:pPr>
        <w:pStyle w:val="21"/>
        <w:tabs>
          <w:tab w:val="clear" w:pos="8296"/>
          <w:tab w:val="right" w:leader="dot" w:pos="8306"/>
        </w:tabs>
      </w:pPr>
      <w:r>
        <w:rPr>
          <w:rFonts w:ascii="仿宋" w:eastAsia="仿宋"/>
        </w:rPr>
        <w:fldChar w:fldCharType="begin"/>
      </w:r>
      <w:r>
        <w:rPr>
          <w:rFonts w:ascii="仿宋" w:eastAsia="仿宋"/>
        </w:rPr>
        <w:instrText xml:space="preserve"> HYPERLINK \l _Toc23757 </w:instrText>
      </w:r>
      <w:r>
        <w:rPr>
          <w:rFonts w:ascii="仿宋" w:eastAsia="仿宋"/>
        </w:rPr>
        <w:fldChar w:fldCharType="separate"/>
      </w:r>
      <w:r>
        <w:rPr>
          <w:rFonts w:ascii="仿宋_GB2312" w:eastAsia="仿宋_GB2312" w:cs="仿宋_GB2312" w:hint="eastAsia"/>
          <w:bCs w:val="0"/>
          <w:szCs w:val="30"/>
        </w:rPr>
        <w:t>十、</w:t>
      </w:r>
      <w:r>
        <w:rPr>
          <w:rFonts w:ascii="仿宋_GB2312" w:eastAsia="仿宋_GB2312" w:cs="仿宋_GB2312" w:hint="eastAsia"/>
          <w:szCs w:val="30"/>
        </w:rPr>
        <w:t>一</w:t>
      </w:r>
      <w:r>
        <w:rPr>
          <w:rFonts w:ascii="仿宋_GB2312" w:eastAsia="仿宋_GB2312" w:cs="仿宋_GB2312" w:hint="eastAsia"/>
          <w:bCs w:val="0"/>
          <w:szCs w:val="30"/>
        </w:rPr>
        <w:t>般公共预算财政拨款“三公”经费支出决算表</w:t>
      </w:r>
      <w:r>
        <w:tab/>
      </w:r>
      <w:r>
        <w:fldChar w:fldCharType="begin"/>
      </w:r>
      <w:r>
        <w:instrText xml:space="preserve"> PAGEREF _Toc23757 </w:instrText>
      </w:r>
      <w:r>
        <w:fldChar w:fldCharType="separate"/>
      </w:r>
      <w:r>
        <w:t>80</w:t>
      </w:r>
      <w:r>
        <w:fldChar w:fldCharType="end"/>
      </w:r>
      <w:r>
        <w:rPr>
          <w:rFonts w:ascii="仿宋" w:eastAsia="仿宋"/>
          <w:color w:val="000000"/>
        </w:rPr>
        <w:fldChar w:fldCharType="end"/>
      </w:r>
    </w:p>
    <w:p>
      <w:pPr>
        <w:pStyle w:val="21"/>
        <w:tabs>
          <w:tab w:val="clear" w:pos="8296"/>
          <w:tab w:val="right" w:leader="dot" w:pos="8306"/>
        </w:tabs>
      </w:pPr>
      <w:r>
        <w:rPr>
          <w:rFonts w:ascii="仿宋" w:eastAsia="仿宋"/>
        </w:rPr>
        <w:fldChar w:fldCharType="begin"/>
      </w:r>
      <w:r>
        <w:rPr>
          <w:rFonts w:ascii="仿宋" w:eastAsia="仿宋"/>
        </w:rPr>
        <w:instrText xml:space="preserve"> HYPERLINK \l _Toc19497 </w:instrText>
      </w:r>
      <w:r>
        <w:rPr>
          <w:rFonts w:ascii="仿宋" w:eastAsia="仿宋"/>
        </w:rPr>
        <w:fldChar w:fldCharType="separate"/>
      </w:r>
      <w:r>
        <w:rPr>
          <w:rFonts w:ascii="仿宋_GB2312" w:eastAsia="仿宋_GB2312" w:cs="仿宋_GB2312" w:hint="eastAsia"/>
          <w:bCs w:val="0"/>
          <w:szCs w:val="30"/>
        </w:rPr>
        <w:t>十一、</w:t>
      </w:r>
      <w:r>
        <w:rPr>
          <w:rFonts w:ascii="仿宋_GB2312" w:eastAsia="仿宋_GB2312" w:cs="仿宋_GB2312" w:hint="eastAsia"/>
          <w:szCs w:val="30"/>
        </w:rPr>
        <w:t>政</w:t>
      </w:r>
      <w:r>
        <w:rPr>
          <w:rFonts w:ascii="仿宋_GB2312" w:eastAsia="仿宋_GB2312" w:cs="仿宋_GB2312" w:hint="eastAsia"/>
          <w:bCs w:val="0"/>
          <w:szCs w:val="30"/>
        </w:rPr>
        <w:t>府性基金预算财政拨款收入支出决算表</w:t>
      </w:r>
      <w:r>
        <w:tab/>
      </w:r>
      <w:r>
        <w:fldChar w:fldCharType="begin"/>
      </w:r>
      <w:r>
        <w:instrText xml:space="preserve"> PAGEREF _Toc19497 </w:instrText>
      </w:r>
      <w:r>
        <w:fldChar w:fldCharType="separate"/>
      </w:r>
      <w:r>
        <w:t>80</w:t>
      </w:r>
      <w:r>
        <w:fldChar w:fldCharType="end"/>
      </w:r>
      <w:r>
        <w:rPr>
          <w:rFonts w:ascii="仿宋" w:eastAsia="仿宋"/>
          <w:color w:val="000000"/>
        </w:rPr>
        <w:fldChar w:fldCharType="end"/>
      </w:r>
    </w:p>
    <w:p>
      <w:pPr>
        <w:pStyle w:val="21"/>
        <w:tabs>
          <w:tab w:val="clear" w:pos="8296"/>
          <w:tab w:val="right" w:leader="dot" w:pos="8306"/>
        </w:tabs>
      </w:pPr>
      <w:r>
        <w:rPr>
          <w:rFonts w:ascii="仿宋" w:eastAsia="仿宋"/>
        </w:rPr>
        <w:fldChar w:fldCharType="begin"/>
      </w:r>
      <w:r>
        <w:rPr>
          <w:rFonts w:ascii="仿宋" w:eastAsia="仿宋"/>
        </w:rPr>
        <w:instrText xml:space="preserve"> HYPERLINK \l _Toc5741 </w:instrText>
      </w:r>
      <w:r>
        <w:rPr>
          <w:rFonts w:ascii="仿宋" w:eastAsia="仿宋"/>
        </w:rPr>
        <w:fldChar w:fldCharType="separate"/>
      </w:r>
      <w:r>
        <w:rPr>
          <w:rFonts w:ascii="仿宋_GB2312" w:eastAsia="仿宋_GB2312" w:cs="仿宋_GB2312" w:hint="eastAsia"/>
          <w:bCs w:val="0"/>
          <w:szCs w:val="30"/>
        </w:rPr>
        <w:t>十二、</w:t>
      </w:r>
      <w:r>
        <w:rPr>
          <w:rFonts w:ascii="仿宋_GB2312" w:eastAsia="仿宋_GB2312" w:cs="仿宋_GB2312" w:hint="eastAsia"/>
          <w:szCs w:val="30"/>
        </w:rPr>
        <w:t>政</w:t>
      </w:r>
      <w:r>
        <w:rPr>
          <w:rFonts w:ascii="仿宋_GB2312" w:eastAsia="仿宋_GB2312" w:cs="仿宋_GB2312" w:hint="eastAsia"/>
          <w:bCs w:val="0"/>
          <w:szCs w:val="30"/>
        </w:rPr>
        <w:t>府性基金预算财政拨款“三公”经费支出决算表</w:t>
      </w:r>
      <w:r>
        <w:rPr>
          <w:rFonts w:ascii="仿宋_GB2312" w:eastAsia="仿宋_GB2312" w:cs="仿宋_GB2312" w:hint="eastAsia"/>
          <w:szCs w:val="30"/>
        </w:rPr>
        <w:t>（此表无数据）</w:t>
      </w:r>
      <w:r>
        <w:tab/>
      </w:r>
      <w:r>
        <w:fldChar w:fldCharType="begin"/>
      </w:r>
      <w:r>
        <w:instrText xml:space="preserve"> PAGEREF _Toc5741 </w:instrText>
      </w:r>
      <w:r>
        <w:fldChar w:fldCharType="separate"/>
      </w:r>
      <w:r>
        <w:t>80</w:t>
      </w:r>
      <w:r>
        <w:fldChar w:fldCharType="end"/>
      </w:r>
      <w:r>
        <w:rPr>
          <w:rFonts w:ascii="仿宋" w:eastAsia="仿宋"/>
          <w:color w:val="000000"/>
        </w:rPr>
        <w:fldChar w:fldCharType="end"/>
      </w:r>
    </w:p>
    <w:p>
      <w:pPr>
        <w:pStyle w:val="21"/>
        <w:tabs>
          <w:tab w:val="clear" w:pos="8296"/>
          <w:tab w:val="right" w:leader="dot" w:pos="8306"/>
        </w:tabs>
      </w:pPr>
      <w:r>
        <w:rPr>
          <w:rFonts w:ascii="仿宋" w:eastAsia="仿宋"/>
        </w:rPr>
        <w:fldChar w:fldCharType="begin"/>
      </w:r>
      <w:r>
        <w:rPr>
          <w:rFonts w:ascii="仿宋" w:eastAsia="仿宋"/>
        </w:rPr>
        <w:instrText xml:space="preserve"> HYPERLINK \l _Toc2701 </w:instrText>
      </w:r>
      <w:r>
        <w:rPr>
          <w:rFonts w:ascii="仿宋" w:eastAsia="仿宋"/>
        </w:rPr>
        <w:fldChar w:fldCharType="separate"/>
      </w:r>
      <w:r>
        <w:rPr>
          <w:rFonts w:ascii="仿宋_GB2312" w:eastAsia="仿宋_GB2312" w:cs="仿宋_GB2312" w:hint="eastAsia"/>
          <w:bCs w:val="0"/>
          <w:szCs w:val="30"/>
        </w:rPr>
        <w:t>十三、</w:t>
      </w:r>
      <w:r>
        <w:rPr>
          <w:rFonts w:ascii="仿宋_GB2312" w:eastAsia="仿宋_GB2312" w:cs="仿宋_GB2312" w:hint="eastAsia"/>
          <w:szCs w:val="30"/>
        </w:rPr>
        <w:t>国有资本经营预算财政拨款收入支出决算表（此表无数据）</w:t>
      </w:r>
      <w:r>
        <w:tab/>
      </w:r>
      <w:r>
        <w:fldChar w:fldCharType="begin"/>
      </w:r>
      <w:r>
        <w:instrText xml:space="preserve"> PAGEREF _Toc2701 </w:instrText>
      </w:r>
      <w:r>
        <w:fldChar w:fldCharType="separate"/>
      </w:r>
      <w:r>
        <w:t>80</w:t>
      </w:r>
      <w:r>
        <w:fldChar w:fldCharType="end"/>
      </w:r>
      <w:r>
        <w:rPr>
          <w:rFonts w:ascii="仿宋" w:eastAsia="仿宋"/>
          <w:color w:val="000000"/>
        </w:rPr>
        <w:fldChar w:fldCharType="end"/>
      </w:r>
    </w:p>
    <w:p>
      <w:pPr>
        <w:pStyle w:val="21"/>
        <w:tabs>
          <w:tab w:val="clear" w:pos="8296"/>
          <w:tab w:val="right" w:leader="dot" w:pos="8306"/>
        </w:tabs>
      </w:pPr>
      <w:r>
        <w:rPr>
          <w:rFonts w:ascii="仿宋" w:eastAsia="仿宋"/>
        </w:rPr>
        <w:fldChar w:fldCharType="begin"/>
      </w:r>
      <w:r>
        <w:rPr>
          <w:rFonts w:ascii="仿宋" w:eastAsia="仿宋"/>
        </w:rPr>
        <w:instrText xml:space="preserve"> HYPERLINK \l _Toc8597 </w:instrText>
      </w:r>
      <w:r>
        <w:rPr>
          <w:rFonts w:ascii="仿宋" w:eastAsia="仿宋"/>
        </w:rPr>
        <w:fldChar w:fldCharType="separate"/>
      </w:r>
      <w:r>
        <w:rPr>
          <w:rFonts w:ascii="仿宋_GB2312" w:eastAsia="仿宋_GB2312" w:cs="仿宋_GB2312" w:hint="eastAsia"/>
          <w:bCs w:val="0"/>
          <w:szCs w:val="30"/>
        </w:rPr>
        <w:t>十四、</w:t>
      </w:r>
      <w:r>
        <w:rPr>
          <w:rFonts w:ascii="仿宋_GB2312" w:eastAsia="仿宋_GB2312" w:cs="仿宋_GB2312" w:hint="eastAsia"/>
          <w:szCs w:val="30"/>
        </w:rPr>
        <w:t>国有资本经营预算财政拨款支出决算表（此表无数据）</w:t>
      </w:r>
      <w:r>
        <w:tab/>
      </w:r>
      <w:r>
        <w:fldChar w:fldCharType="begin"/>
      </w:r>
      <w:r>
        <w:instrText xml:space="preserve"> PAGEREF _Toc8597 </w:instrText>
      </w:r>
      <w:r>
        <w:fldChar w:fldCharType="separate"/>
      </w:r>
      <w:r>
        <w:t>80</w:t>
      </w:r>
      <w:r>
        <w:fldChar w:fldCharType="end"/>
      </w:r>
      <w:r>
        <w:rPr>
          <w:rFonts w:ascii="仿宋" w:eastAsia="仿宋"/>
          <w:color w:val="000000"/>
        </w:rPr>
        <w:fldChar w:fldCharType="end"/>
      </w:r>
    </w:p>
    <w:p>
      <w:pPr>
        <w:widowControl/>
        <w:jc w:val="left"/>
        <w:rPr>
          <w:rFonts w:ascii="仿宋" w:eastAsia="仿宋"/>
          <w:color w:val="000000"/>
          <w:sz w:val="24"/>
        </w:rPr>
      </w:pPr>
      <w:r>
        <w:rPr>
          <w:rFonts w:ascii="仿宋" w:eastAsia="仿宋"/>
          <w:color w:val="000000"/>
        </w:rPr>
        <w:fldChar w:fldCharType="end"/>
      </w:r>
      <w:bookmarkStart w:id="24" w:name="_Toc15377196"/>
    </w:p>
    <w:p>
      <w:pPr>
        <w:rPr>
          <w:rFonts w:ascii="黑体" w:eastAsia="黑体" w:hint="eastAsia"/>
          <w:b w:val="0"/>
        </w:rPr>
      </w:pPr>
      <w:r>
        <w:rPr>
          <w:rFonts w:ascii="黑体" w:eastAsia="黑体" w:hint="eastAsia"/>
          <w:b w:val="0"/>
        </w:rPr>
        <w:br w:type="page"/>
      </w:r>
    </w:p>
    <w:p>
      <w:pPr>
        <w:pStyle w:val="1"/>
        <w:jc w:val="center"/>
        <w:rPr>
          <w:rStyle w:val="1Char"/>
          <w:rFonts w:ascii="黑体" w:eastAsia="黑体"/>
          <w:b/>
          <w:bCs w:val="0"/>
        </w:rPr>
      </w:pPr>
      <w:bookmarkStart w:id="25" w:name="_Toc24416"/>
      <w:r>
        <w:rPr>
          <w:rFonts w:ascii="黑体" w:eastAsia="黑体" w:hint="eastAsia"/>
          <w:b w:val="0"/>
        </w:rPr>
        <w:t xml:space="preserve">第一部分 </w:t>
      </w:r>
      <w:r>
        <w:rPr>
          <w:rStyle w:val="1Char"/>
          <w:rFonts w:ascii="黑体" w:eastAsia="黑体" w:hint="eastAsia"/>
          <w:b w:val="0"/>
          <w:bCs w:val="0"/>
        </w:rPr>
        <w:t>部门概况</w:t>
      </w:r>
      <w:bookmarkEnd w:id="24"/>
      <w:bookmarkEnd w:id="25"/>
    </w:p>
    <w:p>
      <w:pPr>
        <w:pStyle w:val="2"/>
        <w:bidi w:val="0"/>
      </w:pPr>
      <w:bookmarkStart w:id="26" w:name="_Toc15377197"/>
      <w:bookmarkStart w:id="27" w:name="_Toc23464"/>
      <w:r>
        <w:rPr>
          <w:rFonts w:hint="eastAsia"/>
        </w:rPr>
        <w:t>一、基本职能及主要工作</w:t>
      </w:r>
      <w:bookmarkEnd w:id="26"/>
      <w:bookmarkEnd w:id="27"/>
    </w:p>
    <w:p>
      <w:pPr>
        <w:pStyle w:val="15"/>
        <w:adjustRightInd w:val="0"/>
        <w:snapToGrid w:val="0"/>
        <w:spacing w:beforeLines="0" w:before="93" w:line="353" w:lineRule="auto"/>
        <w:ind w:firstLineChars="209" w:firstLine="672"/>
        <w:outlineLvl w:val="2"/>
        <w:rPr>
          <w:rFonts w:ascii="楷体" w:eastAsia="楷体"/>
          <w:b/>
          <w:bCs/>
          <w:color w:val="000000"/>
          <w:sz w:val="32"/>
          <w:szCs w:val="32"/>
        </w:rPr>
      </w:pPr>
      <w:bookmarkStart w:id="28" w:name="_Toc15377198"/>
      <w:bookmarkStart w:id="29" w:name="_Toc15378445"/>
      <w:r>
        <w:rPr>
          <w:rFonts w:ascii="楷体" w:eastAsia="楷体" w:hint="eastAsia"/>
          <w:b/>
          <w:bCs/>
          <w:color w:val="000000"/>
          <w:sz w:val="32"/>
          <w:szCs w:val="32"/>
        </w:rPr>
        <w:t>（一）主要职能。</w:t>
      </w:r>
    </w:p>
    <w:p>
      <w:pPr>
        <w:spacing w:line="353"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贯彻执行党和政府关于民族、宗教工作的法律法规和方针政策。处理民族关系中的重大事项。负责民族、宗教政策、法律、法规的宣传教育工作并监督实施。拟定民族地区经济社会发展规划。管理民族专项资金。研究少数民族和民族地区教育、文化、科技、卫生、体育、计划生育、新闻出版等方面的特殊问题。监督和办理少数民族权益保障事宜。依法保护公民宗教信仰自由和正常的宗教活动，维护宗教界合法权益，支持宗教团体加强自身建设。负责对宗教法律、法规和政策的贯彻实施进行监督管理；引导、促进宗教在法律、法规和政策范围内活动，防止和制止不法分子利用宗教进行非法、违法活动。负责组织实施安置凉山州自发迁居农民工作规划、管理，协助县（区）和相关部门处理好自发迁居农民的遗留问题，指导县区完成凉山州自发迁农民的安置发展工作。会同相关部门做好少数民族干部和民族工作干部的培养、教育和推荐使用工作。参与涉及民族、宗教事务的对外宣传工作。承担市政府公布的有关行政审批事项。</w:t>
      </w:r>
    </w:p>
    <w:p>
      <w:pPr>
        <w:pStyle w:val="15"/>
        <w:adjustRightInd w:val="0"/>
        <w:snapToGrid w:val="0"/>
        <w:spacing w:beforeLines="0" w:before="93" w:line="353" w:lineRule="auto"/>
        <w:ind w:firstLineChars="209" w:firstLine="672"/>
        <w:outlineLvl w:val="2"/>
        <w:rPr>
          <w:rFonts w:ascii="楷体" w:eastAsia="楷体"/>
          <w:b/>
          <w:bCs/>
          <w:color w:val="000000"/>
          <w:sz w:val="32"/>
          <w:szCs w:val="32"/>
        </w:rPr>
      </w:pPr>
      <w:bookmarkStart w:id="30" w:name="_Toc15377199"/>
      <w:bookmarkStart w:id="31" w:name="_Toc15378446"/>
      <w:bookmarkEnd w:id="28"/>
      <w:bookmarkEnd w:id="29"/>
      <w:r>
        <w:rPr>
          <w:rFonts w:ascii="楷体" w:eastAsia="楷体" w:hint="eastAsia"/>
          <w:b/>
          <w:bCs/>
          <w:color w:val="000000"/>
          <w:sz w:val="32"/>
          <w:szCs w:val="32"/>
        </w:rPr>
        <w:t>（二）</w:t>
      </w:r>
      <w:r>
        <w:rPr>
          <w:rFonts w:ascii="楷体" w:eastAsia="楷体"/>
          <w:b/>
          <w:bCs/>
          <w:color w:val="000000"/>
          <w:sz w:val="32"/>
          <w:szCs w:val="32"/>
        </w:rPr>
        <w:t>20</w:t>
      </w:r>
      <w:r>
        <w:rPr>
          <w:rFonts w:ascii="楷体" w:eastAsia="楷体" w:hint="eastAsia"/>
          <w:b/>
          <w:bCs/>
          <w:color w:val="000000"/>
          <w:sz w:val="32"/>
          <w:szCs w:val="32"/>
        </w:rPr>
        <w:t>21年重点工作完成情况。</w:t>
      </w:r>
      <w:bookmarkEnd w:id="30"/>
      <w:bookmarkEnd w:id="31"/>
    </w:p>
    <w:p>
      <w:pPr>
        <w:spacing w:line="353" w:lineRule="auto"/>
        <w:ind w:firstLineChars="200" w:firstLine="640"/>
        <w:rPr>
          <w:rFonts w:ascii="仿宋_GB2312" w:eastAsia="仿宋_GB2312" w:cs="仿宋_GB2312"/>
          <w:color w:val="000000"/>
          <w:sz w:val="32"/>
          <w:szCs w:val="32"/>
        </w:rPr>
      </w:pPr>
      <w:bookmarkStart w:id="32" w:name="_Toc15377200"/>
      <w:r>
        <w:rPr>
          <w:rFonts w:ascii="仿宋_GB2312" w:eastAsia="仿宋_GB2312" w:cs="仿宋_GB2312" w:hint="eastAsia"/>
          <w:color w:val="000000"/>
          <w:sz w:val="32"/>
          <w:szCs w:val="32"/>
        </w:rPr>
        <w:t>1.加强政治建设，认真贯彻中央和省委、市委重大决策部署。深入学习贯彻习近平新时代中国特色社会主义思想和党的十九大、十九届五中、六中全会精神，深刻学习领会习近平总书记关于加强和改进民族工作的重要思想、习近平总书记关于宗教工作重要论述及重要指示批示精神，提高政治站位，增强“四个意识”，坚定“四个自信”，做到“两个维护”，在思想上政治上行动上同以习近平同志为核心的党中央保持高度一致。扎实推进党史学习教育，深入开展“我为群众办实事”实践活动，解决群众反映的急难问题8件。坚决落实全面从严治党责任，完成省委巡视攀枝花反馈涉及宗教方面的问题整改，完成市委巡察“回头看”反馈的3项整改事项整改。扎实做好乡镇区划和村级建制调整改革“后半篇”文章相关工作，牵头草拟“民族地区免费中等职业教育覆盖范围”和“少数民族报考事业单位加分政策”两项政策调整方案。深入开展民族团结宣传教育，依法加强宗教及宗教思想传播管理，意识形态领域总体态势平稳可控。加强宗教活动场所及大型宗教活动安全管理，做好民族宗教领域矛盾纠纷隐患排查、舆情发现处置和涉外宗教活动管控，防范化解重大风险，保持民族宗教领域社会稳定。</w:t>
      </w:r>
    </w:p>
    <w:p>
      <w:pPr>
        <w:spacing w:line="353" w:lineRule="auto"/>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2.深入宣传发动，全力做好民族宗教领域疫情防控和森林草原防灭火工作。全面落实新型冠状肺炎疫情防控、森林草原防灭火工作部署。制作《新冠肺炎疫情防控“少数民族语言+汉语”宣传顺口溜》，利用微信群、网站等多渠道向民族地区推送，发放森林草原防灭火有关政策法规宣传资料5600余份，制作“少数民族语言+汉语”宣传标语100余条，加强民族宗教领域疫情防控和森林草原防灭火宣传。制定《攀枝花市宗教活动场所疫情防控督导检查工作方案》，采取“四不</w:t>
      </w:r>
      <w:r>
        <w:rPr>
          <w:rFonts w:ascii="仿宋_GB2312" w:eastAsia="仿宋_GB2312" w:cs="仿宋_GB2312"/>
          <w:color w:val="000000"/>
          <w:sz w:val="32"/>
          <w:szCs w:val="32"/>
        </w:rPr>
        <w:t>两</w:t>
      </w:r>
      <w:r>
        <w:rPr>
          <w:rFonts w:ascii="仿宋_GB2312" w:eastAsia="仿宋_GB2312" w:cs="仿宋_GB2312" w:hint="eastAsia"/>
          <w:color w:val="000000"/>
          <w:sz w:val="32"/>
          <w:szCs w:val="32"/>
        </w:rPr>
        <w:t>直”的方</w:t>
      </w:r>
      <w:bookmarkStart w:id="33" w:name="_GoBack"/>
      <w:bookmarkEnd w:id="33"/>
      <w:r>
        <w:rPr>
          <w:rFonts w:ascii="仿宋_GB2312" w:eastAsia="仿宋_GB2312" w:cs="仿宋_GB2312" w:hint="eastAsia"/>
          <w:color w:val="000000"/>
          <w:sz w:val="32"/>
          <w:szCs w:val="32"/>
        </w:rPr>
        <w:t>式做好宗教领域疫情防控检查。制定《集中整治宗教活动场所消防安全隐患助力森林防火安全实施方案》，开展宗教活动场所森林防火督导检查40余次，协调宗教活动场所建设微型消防站22个，组织应急演练10场次。民族地区、宗教领域未发生人员感染新冠肺炎情况和森林火灾事故。</w:t>
      </w:r>
    </w:p>
    <w:p>
      <w:pPr>
        <w:spacing w:line="353" w:lineRule="auto"/>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3.积极向上争取资金，加大民族地区发展投入。围绕巩固脱贫攻坚成果，推进民族地区乡村振兴战略，积极向上协调争取民族资金，加大民族地区发展投入。全年争取省级民族资金2283万元、安排市级资金300万元，实施产业道路硬化27.6千米；新建便民桥3座；架设各类管道78千米，修建和整治水池6320立方米、整治沟渠6500米；实施民族教育体育基础建设项目4个；实施村集体经济试点项目2个；实施民族团结示范村建设项目1个；实施民族团结进步示范点项目6个；开展民族地区实用技术培训和乡村振兴驻村第一书记培训、民族宗教干部培训2000人次，建立科技成果转换专家创新团队示范基地2个。切实解决了一批群众反映的急难问题，有力促进民族地区乡村振兴。</w:t>
      </w:r>
    </w:p>
    <w:p>
      <w:pPr>
        <w:spacing w:line="353" w:lineRule="auto"/>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4．深化民族团结进步创建，铸牢中华民族共同体意识。深入学习贯彻中央民族工作会议精神，制定《攀枝花市深入开展铸牢中华民族共同体意识大宣教工作的实施方案》《攀枝花市民族团结进步示范单位测评指标（试行）》，扎实推进中华民族共同体意识大宣教工作和民族团结进步创建示范县（区）、示范乡镇（街道）、示范村（社区）、示范单位创建工作，举办全市铸牢中华民族共同体意识业务骨干培训班，培训业务骨干54名。米易县入围第九批全国民族团结进步示范区拟命名名单，推荐西区清香坪街道等24个单位为第六批全省民族团结进步示范候选单位，东区东华街道等71家单位成功创建为第四批全市民族团结进步示范区示范单位。持续深化少数民族流动人口服务管理示范市建设，制定《攀枝花市城市民族工作指南（试行）》《攀枝花市社区民族工作指南（试行）》和《2021年新时代城市民族工作试点方案》，投资20万元开展5个新时代城市民族工作试点社区建设及3个流动人口服务网点改造升级。推动建立四川、云南毗邻地区六市（州）少数民族流动人口服务管理跨区域协作机制，不断加强和改进少数民族流动人口服务管理。</w:t>
      </w:r>
    </w:p>
    <w:p>
      <w:pPr>
        <w:spacing w:line="353" w:lineRule="auto"/>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5.依法管理宗教事务，巩固提升宗教督查整改成果。持续织密夯实宗教工作“三级网络”“两级责任制”，乡镇（街道）、村（社区）落实宗教工作分管领导、工作人员、网格员，明确工作职责和任务，健全主体在县、延伸到乡、落实到村、规范到点的宗教工作网格化管理体系。持续推动宗教活动场所规范化管理创建和“安全宗教活动场所”标准化建设工作，有10个宗教活动场所被命名为全市“安全宗教活动场所”和“管理规范化宗教活动场所”。扎实推进宗教领域突出问题治理成果巩固，建立已治理突出问题台账，将重点点位、人员纳入动态监管，适时开展“回头看”；做好东区、西区2处寺院骨灰存放设施专项治理“后半篇”文章；推动伊斯兰教领域专项治理工作，完成5处清真寺阿式风格建筑物整改；开展依法治理基督教领域非法活动专项行动，加强信息共享，强化联合执法，依法处置非法宗教活动，治理取缔了1处基督教私设聚会点，保持基督教非法活动点“清零”。</w:t>
      </w:r>
    </w:p>
    <w:p>
      <w:pPr>
        <w:pStyle w:val="2"/>
        <w:bidi w:val="0"/>
        <w:rPr>
          <w:rFonts w:hint="eastAsia"/>
          <w:lang w:val="en-US" w:eastAsia="zh-CN"/>
        </w:rPr>
      </w:pPr>
      <w:bookmarkStart w:id="34" w:name="_Toc24675"/>
      <w:r>
        <w:rPr>
          <w:rFonts w:hint="eastAsia"/>
          <w:lang w:val="en-US" w:eastAsia="zh-CN"/>
        </w:rPr>
        <w:t>二、机构设置</w:t>
      </w:r>
      <w:bookmarkEnd w:id="32"/>
      <w:bookmarkEnd w:id="34"/>
    </w:p>
    <w:p>
      <w:pPr>
        <w:spacing w:line="353" w:lineRule="auto"/>
        <w:ind w:firstLineChars="250" w:firstLine="800"/>
        <w:rPr>
          <w:rFonts w:ascii="仿宋" w:eastAsia="仿宋"/>
          <w:sz w:val="32"/>
          <w:szCs w:val="32"/>
        </w:rPr>
      </w:pPr>
      <w:r>
        <w:rPr>
          <w:rFonts w:ascii="仿宋" w:eastAsia="仿宋" w:hint="eastAsia"/>
          <w:sz w:val="32"/>
          <w:szCs w:val="32"/>
        </w:rPr>
        <w:t>攀枝花市民族宗教委下属二级单位1个，为其他事业单位1个。</w:t>
      </w:r>
    </w:p>
    <w:p>
      <w:pPr>
        <w:pStyle w:val="15"/>
        <w:adjustRightInd w:val="0"/>
        <w:snapToGrid w:val="0"/>
        <w:spacing w:beforeLines="0" w:before="93" w:line="353" w:lineRule="auto"/>
        <w:ind w:firstLineChars="209" w:firstLine="672"/>
        <w:rPr>
          <w:rFonts w:ascii="仿宋" w:eastAsia="仿宋"/>
          <w:color w:val="000000"/>
          <w:sz w:val="32"/>
          <w:szCs w:val="32"/>
        </w:rPr>
      </w:pPr>
      <w:r>
        <w:rPr>
          <w:rFonts w:ascii="仿宋" w:eastAsia="仿宋" w:cs="仿宋" w:hint="eastAsia"/>
          <w:kern w:val="2"/>
          <w:sz w:val="32"/>
          <w:szCs w:val="32"/>
        </w:rPr>
        <w:t>纳入攀枝花市民族宗教委2021年度部门决算编制范围的二级预算单位包括：</w:t>
      </w:r>
    </w:p>
    <w:p>
      <w:pPr>
        <w:pStyle w:val="15"/>
        <w:adjustRightInd w:val="0"/>
        <w:snapToGrid w:val="0"/>
        <w:spacing w:beforeLines="0" w:before="93" w:line="353" w:lineRule="auto"/>
        <w:ind w:firstLineChars="209" w:firstLine="672"/>
        <w:rPr>
          <w:rFonts w:ascii="仿宋" w:eastAsia="仿宋"/>
          <w:color w:val="000000"/>
          <w:sz w:val="32"/>
          <w:szCs w:val="32"/>
        </w:rPr>
      </w:pPr>
      <w:r>
        <w:rPr>
          <w:rFonts w:ascii="仿宋" w:eastAsia="仿宋" w:hint="eastAsia"/>
          <w:color w:val="000000"/>
          <w:sz w:val="32"/>
          <w:szCs w:val="32"/>
        </w:rPr>
        <w:t>1.攀枝花市民族宗教干部学校。</w:t>
      </w:r>
    </w:p>
    <w:p>
      <w:pPr>
        <w:widowControl/>
        <w:jc w:val="left"/>
        <w:rPr>
          <w:rFonts w:ascii="仿宋" w:eastAsia="仿宋"/>
          <w:color w:val="000000"/>
          <w:kern w:val="0"/>
          <w:sz w:val="32"/>
          <w:szCs w:val="32"/>
        </w:rPr>
      </w:pPr>
    </w:p>
    <w:p>
      <w:pPr>
        <w:widowControl/>
        <w:jc w:val="left"/>
        <w:rPr>
          <w:rFonts w:ascii="仿宋" w:eastAsia="仿宋"/>
          <w:color w:val="000000"/>
          <w:kern w:val="0"/>
          <w:sz w:val="32"/>
          <w:szCs w:val="32"/>
        </w:rPr>
      </w:pPr>
    </w:p>
    <w:p>
      <w:pPr>
        <w:widowControl/>
        <w:jc w:val="left"/>
        <w:rPr>
          <w:rFonts w:ascii="仿宋" w:eastAsia="仿宋"/>
          <w:color w:val="000000"/>
          <w:kern w:val="0"/>
          <w:sz w:val="32"/>
          <w:szCs w:val="32"/>
        </w:rPr>
      </w:pPr>
    </w:p>
    <w:p>
      <w:pPr>
        <w:pStyle w:val="1"/>
        <w:ind w:right="440"/>
        <w:jc w:val="right"/>
        <w:rPr>
          <w:rStyle w:val="1Char"/>
          <w:rFonts w:ascii="黑体" w:eastAsia="黑体"/>
          <w:b w:val="0"/>
          <w:bCs w:val="0"/>
        </w:rPr>
      </w:pPr>
      <w:bookmarkStart w:id="35" w:name="_Toc15377204"/>
      <w:bookmarkStart w:id="36" w:name="_Toc2283"/>
      <w:r>
        <w:rPr>
          <w:rFonts w:ascii="黑体" w:eastAsia="黑体" w:hint="eastAsia"/>
          <w:b w:val="0"/>
          <w:color w:val="000000"/>
        </w:rPr>
        <w:t>第二部分</w:t>
      </w:r>
      <w:r>
        <w:rPr>
          <w:rStyle w:val="1Char"/>
          <w:rFonts w:ascii="黑体" w:eastAsia="黑体" w:hint="eastAsia"/>
          <w:b w:val="0"/>
          <w:bCs w:val="0"/>
        </w:rPr>
        <w:t>2021年度部门决算情况说明</w:t>
      </w:r>
      <w:bookmarkEnd w:id="35"/>
      <w:bookmarkEnd w:id="36"/>
    </w:p>
    <w:p>
      <w:pPr>
        <w:spacing w:line="353" w:lineRule="auto"/>
        <w:ind w:firstLineChars="200" w:firstLine="640"/>
        <w:outlineLvl w:val="1"/>
        <w:rPr>
          <w:rStyle w:val="2Char"/>
          <w:rFonts w:ascii="黑体" w:eastAsia="黑体"/>
          <w:b w:val="0"/>
        </w:rPr>
      </w:pPr>
      <w:bookmarkStart w:id="37" w:name="_Toc15377205"/>
      <w:bookmarkStart w:id="38" w:name="_Toc16598"/>
      <w:r>
        <w:rPr>
          <w:rFonts w:ascii="黑体" w:eastAsia="黑体" w:hint="eastAsia"/>
          <w:sz w:val="32"/>
          <w:szCs w:val="32"/>
        </w:rPr>
        <w:t>一、收入</w:t>
      </w:r>
      <w:r>
        <w:rPr>
          <w:rStyle w:val="2Char"/>
          <w:rFonts w:ascii="黑体" w:eastAsia="黑体" w:hint="eastAsia"/>
          <w:b w:val="0"/>
        </w:rPr>
        <w:t>支出决算总体情况说明</w:t>
      </w:r>
      <w:bookmarkEnd w:id="37"/>
      <w:bookmarkEnd w:id="38"/>
    </w:p>
    <w:p>
      <w:pPr>
        <w:spacing w:line="353" w:lineRule="auto"/>
        <w:ind w:firstLineChars="200" w:firstLine="640"/>
        <w:rPr>
          <w:rFonts w:ascii="仿宋" w:eastAsia="仿宋"/>
          <w:color w:val="000000"/>
          <w:sz w:val="32"/>
          <w:szCs w:val="32"/>
        </w:rPr>
      </w:pPr>
      <w:r>
        <w:rPr>
          <w:rFonts w:ascii="仿宋" w:eastAsia="仿宋" w:hint="eastAsia"/>
          <w:color w:val="000000"/>
          <w:sz w:val="32"/>
          <w:szCs w:val="32"/>
        </w:rPr>
        <w:drawing>
          <wp:anchor distT="0" distB="0" distL="114300" distR="114300" simplePos="0" relativeHeight="24" behindDoc="0" locked="0" layoutInCell="1" hidden="0" allowOverlap="1">
            <wp:simplePos x="0" y="0"/>
            <wp:positionH relativeFrom="column">
              <wp:posOffset>314325</wp:posOffset>
            </wp:positionH>
            <wp:positionV relativeFrom="paragraph">
              <wp:posOffset>1256664</wp:posOffset>
            </wp:positionV>
            <wp:extent cx="4781550" cy="2190750"/>
            <wp:effectExtent l="0" t="0" r="22" b="34"/>
            <wp:wrapSquare wrapText="bothSides"/>
            <wp:docPr id="1" name="对象 2"/>
            <wp:cNvGraphicFramePr>
              <a:graphicFrameLocks noChangeAspect="1"/>
            </wp:cNvGraphicFramePr>
            <a:graphic>
              <a:graphicData uri="http://schemas.openxmlformats.org/drawingml/2006/chart">
                <c:chart xmlns:c="http://schemas.openxmlformats.org/drawingml/2006/chart" r:id="rId3"/>
              </a:graphicData>
            </a:graphic>
          </wp:anchor>
        </w:drawing>
      </w:r>
      <w:r>
        <w:rPr>
          <w:rFonts w:ascii="仿宋" w:eastAsia="仿宋" w:hint="eastAsia"/>
          <w:color w:val="000000"/>
          <w:sz w:val="32"/>
          <w:szCs w:val="32"/>
        </w:rPr>
        <w:t>2021年度收、支总计734.16万元。与2020年相比，收、支总计减少71.76万元，减少8.9</w:t>
      </w:r>
      <w:r>
        <w:rPr>
          <w:rFonts w:ascii="仿宋" w:eastAsia="仿宋"/>
          <w:color w:val="000000"/>
          <w:sz w:val="32"/>
          <w:szCs w:val="32"/>
        </w:rPr>
        <w:t>%</w:t>
      </w:r>
      <w:r>
        <w:rPr>
          <w:rFonts w:ascii="仿宋" w:eastAsia="仿宋" w:hint="eastAsia"/>
          <w:color w:val="000000"/>
          <w:sz w:val="32"/>
          <w:szCs w:val="32"/>
        </w:rPr>
        <w:t>。主要变动原因为</w:t>
      </w:r>
      <w:r>
        <w:rPr>
          <w:rFonts w:ascii="仿宋" w:eastAsia="仿宋" w:hint="eastAsia"/>
          <w:sz w:val="32"/>
          <w:szCs w:val="32"/>
        </w:rPr>
        <w:t>项目资金减少</w:t>
      </w:r>
      <w:r>
        <w:rPr>
          <w:rFonts w:ascii="仿宋" w:eastAsia="仿宋" w:hint="eastAsia"/>
          <w:color w:val="000000"/>
          <w:sz w:val="32"/>
          <w:szCs w:val="32"/>
        </w:rPr>
        <w:t>。</w:t>
      </w:r>
    </w:p>
    <w:p>
      <w:pPr>
        <w:spacing w:line="600" w:lineRule="exact"/>
        <w:ind w:firstLineChars="250" w:firstLine="800"/>
        <w:rPr>
          <w:rFonts w:ascii="仿宋" w:eastAsia="仿宋"/>
          <w:color w:val="000000"/>
          <w:sz w:val="32"/>
          <w:szCs w:val="32"/>
          <w14:textFill>
            <w14:solidFill>
              <w14:srgbClr w14:val="000000"/>
            </w14:solidFill>
          </w14:textFill>
        </w:rPr>
      </w:pPr>
      <w:r>
        <w:rPr>
          <w:rFonts w:ascii="仿宋" w:eastAsia="仿宋" w:hint="eastAsia"/>
          <w:color w:val="000000"/>
          <w:sz w:val="32"/>
          <w:szCs w:val="32"/>
          <w14:textFill>
            <w14:solidFill>
              <w14:srgbClr w14:val="000000"/>
            </w14:solidFill>
          </w14:textFill>
        </w:rPr>
        <w:t>（图</w:t>
      </w:r>
      <w:r>
        <w:rPr>
          <w:rFonts w:ascii="仿宋" w:eastAsia="仿宋"/>
          <w:color w:val="000000"/>
          <w:sz w:val="32"/>
          <w:szCs w:val="32"/>
          <w14:textFill>
            <w14:solidFill>
              <w14:srgbClr w14:val="000000"/>
            </w14:solidFill>
          </w14:textFill>
        </w:rPr>
        <w:t>1</w:t>
      </w:r>
      <w:r>
        <w:rPr>
          <w:rFonts w:ascii="仿宋" w:eastAsia="仿宋" w:hint="eastAsia"/>
          <w:color w:val="000000"/>
          <w:sz w:val="32"/>
          <w:szCs w:val="32"/>
          <w14:textFill>
            <w14:solidFill>
              <w14:srgbClr w14:val="000000"/>
            </w14:solidFill>
          </w14:textFill>
        </w:rPr>
        <w:t>：收、支决算总计变动情况图）（柱状图）</w:t>
      </w:r>
    </w:p>
    <w:p>
      <w:pPr>
        <w:spacing w:line="353" w:lineRule="auto"/>
        <w:ind w:firstLineChars="196" w:firstLine="627"/>
        <w:rPr>
          <w:rStyle w:val="2Char"/>
          <w:rFonts w:ascii="黑体" w:eastAsia="黑体"/>
          <w:b w:val="0"/>
        </w:rPr>
      </w:pPr>
      <w:bookmarkStart w:id="39" w:name="_Toc15377206"/>
      <w:bookmarkStart w:id="40" w:name="_Toc17278"/>
      <w:r>
        <w:rPr>
          <w:rStyle w:val="2Char"/>
          <w:rFonts w:ascii="黑体" w:eastAsia="黑体" w:hint="eastAsia"/>
          <w:b w:val="0"/>
        </w:rPr>
        <w:t>二、收入决算情况说明</w:t>
      </w:r>
      <w:bookmarkEnd w:id="39"/>
    </w:p>
    <w:p>
      <w:pPr>
        <w:spacing w:line="600" w:lineRule="exact"/>
        <w:ind w:firstLineChars="200" w:firstLine="640"/>
        <w:rPr>
          <w:rFonts w:ascii="仿宋" w:eastAsia="仿宋" w:hint="eastAsia"/>
          <w:color w:val="000000"/>
          <w:sz w:val="32"/>
          <w:szCs w:val="32"/>
        </w:rPr>
      </w:pPr>
      <w:bookmarkStart w:id="41" w:name="_Toc77628800"/>
      <w:bookmarkStart w:id="42" w:name="_Toc4007"/>
      <w:bookmarkStart w:id="43" w:name="_Toc23055"/>
      <w:bookmarkStart w:id="44" w:name="_Toc77627335"/>
      <w:bookmarkStart w:id="45" w:name="_Toc3614"/>
      <w:bookmarkStart w:id="46" w:name="_Toc77627265"/>
      <w:bookmarkEnd w:id="40"/>
      <w:r>
        <w:rPr>
          <w:rFonts w:ascii="仿宋" w:eastAsia="仿宋" w:hint="eastAsia"/>
          <w:color w:val="000000"/>
          <w:sz w:val="32"/>
          <w:szCs w:val="32"/>
        </w:rPr>
        <w:t>2021年本年收入合计730.54万元，其中：一般公共预算财政拨款收入725.52万元，占99.31%；政府性基金预算财政拨款收入5万元，占0.68%；其他收入0.02万元，占0.01%。</w:t>
      </w:r>
      <w:bookmarkEnd w:id="41"/>
      <w:bookmarkEnd w:id="42"/>
      <w:bookmarkEnd w:id="43"/>
      <w:bookmarkEnd w:id="44"/>
      <w:bookmarkEnd w:id="45"/>
      <w:bookmarkEnd w:id="46"/>
    </w:p>
    <w:p>
      <w:pPr>
        <w:spacing w:line="600" w:lineRule="exact"/>
        <w:ind w:firstLineChars="200" w:firstLine="640"/>
        <w:rPr>
          <w:rFonts w:ascii="仿宋" w:eastAsia="仿宋"/>
          <w:color w:val="000000"/>
          <w:sz w:val="32"/>
          <w:szCs w:val="32"/>
          <w14:textFill>
            <w14:solidFill>
              <w14:srgbClr w14:val="000000"/>
            </w14:solidFill>
          </w14:textFill>
        </w:rPr>
      </w:pPr>
      <w:r>
        <w:rPr>
          <w:rFonts w:ascii="仿宋" w:eastAsia="仿宋" w:hint="eastAsia"/>
          <w:color w:val="000000"/>
          <w:sz w:val="32"/>
          <w:szCs w:val="32"/>
          <w14:textFill>
            <w14:solidFill>
              <w14:srgbClr w14:val="000000"/>
            </w14:solidFill>
          </w14:textFill>
        </w:rPr>
        <w:drawing>
          <wp:anchor distT="0" distB="0" distL="114300" distR="114300" simplePos="0" relativeHeight="22" behindDoc="0" locked="0" layoutInCell="1" hidden="0" allowOverlap="1">
            <wp:simplePos x="0" y="0"/>
            <wp:positionH relativeFrom="column">
              <wp:posOffset>673100</wp:posOffset>
            </wp:positionH>
            <wp:positionV relativeFrom="paragraph">
              <wp:posOffset>33020</wp:posOffset>
            </wp:positionV>
            <wp:extent cx="3514725" cy="1352550"/>
            <wp:effectExtent l="0" t="0" r="41" b="21"/>
            <wp:wrapSquare wrapText="bothSides"/>
            <wp:docPr id="2" name="对象 2"/>
            <wp:cNvGraphicFramePr>
              <a:graphicFrameLocks noChangeAspect="1"/>
            </wp:cNvGraphicFramePr>
            <a:graphic>
              <a:graphicData uri="http://schemas.openxmlformats.org/drawingml/2006/chart">
                <c:chart xmlns:c="http://schemas.openxmlformats.org/drawingml/2006/chart" r:id="rId4"/>
              </a:graphicData>
            </a:graphic>
          </wp:anchor>
        </w:drawing>
      </w:r>
    </w:p>
    <w:p>
      <w:pPr>
        <w:spacing w:line="600" w:lineRule="exact"/>
        <w:ind w:firstLineChars="200" w:firstLine="640"/>
        <w:rPr>
          <w:rFonts w:ascii="仿宋" w:eastAsia="仿宋"/>
          <w:color w:val="000000"/>
          <w:sz w:val="32"/>
          <w:szCs w:val="32"/>
          <w14:textFill>
            <w14:solidFill>
              <w14:srgbClr w14:val="000000"/>
            </w14:solidFill>
          </w14:textFill>
        </w:rPr>
      </w:pPr>
    </w:p>
    <w:p>
      <w:pPr>
        <w:spacing w:line="600" w:lineRule="exact"/>
        <w:ind w:firstLineChars="200" w:firstLine="640"/>
        <w:rPr>
          <w:rFonts w:ascii="仿宋" w:eastAsia="仿宋"/>
          <w:color w:val="000000"/>
          <w:sz w:val="32"/>
          <w:szCs w:val="32"/>
          <w14:textFill>
            <w14:solidFill>
              <w14:srgbClr w14:val="000000"/>
            </w14:solidFill>
          </w14:textFill>
        </w:rPr>
      </w:pPr>
    </w:p>
    <w:p>
      <w:pPr>
        <w:spacing w:line="600" w:lineRule="exact"/>
        <w:ind w:firstLineChars="200" w:firstLine="640"/>
        <w:rPr>
          <w:rFonts w:ascii="仿宋" w:eastAsia="仿宋"/>
          <w:color w:val="000000"/>
          <w:sz w:val="32"/>
          <w:szCs w:val="32"/>
          <w14:textFill>
            <w14:solidFill>
              <w14:srgbClr w14:val="000000"/>
            </w14:solidFill>
          </w14:textFill>
        </w:rPr>
      </w:pPr>
    </w:p>
    <w:p>
      <w:pPr>
        <w:spacing w:line="600" w:lineRule="exact"/>
        <w:rPr>
          <w:rFonts w:ascii="黑体" w:eastAsia="黑体"/>
          <w:color w:val="000000"/>
          <w:sz w:val="32"/>
          <w:szCs w:val="32"/>
        </w:rPr>
      </w:pPr>
      <w:r>
        <w:rPr>
          <w:rFonts w:ascii="仿宋" w:eastAsia="仿宋" w:hint="eastAsia"/>
          <w:color w:val="000000"/>
          <w:sz w:val="32"/>
          <w:szCs w:val="32"/>
          <w14:textFill>
            <w14:solidFill>
              <w14:srgbClr w14:val="000000"/>
            </w14:solidFill>
          </w14:textFill>
        </w:rPr>
        <w:t>（图2：收入决算结构图）（饼状图）</w:t>
      </w:r>
      <w:bookmarkStart w:id="47" w:name="_Toc15377207"/>
    </w:p>
    <w:p>
      <w:pPr>
        <w:spacing w:line="353" w:lineRule="auto"/>
        <w:ind w:firstLineChars="200" w:firstLine="640"/>
        <w:outlineLvl w:val="1"/>
        <w:rPr>
          <w:rStyle w:val="2Char"/>
          <w:rFonts w:ascii="黑体" w:eastAsia="黑体"/>
          <w:b w:val="0"/>
        </w:rPr>
      </w:pPr>
      <w:bookmarkStart w:id="48" w:name="_Toc16257"/>
      <w:r>
        <w:rPr>
          <w:rFonts w:ascii="黑体" w:eastAsia="黑体" w:hint="eastAsia"/>
          <w:sz w:val="32"/>
          <w:szCs w:val="32"/>
        </w:rPr>
        <w:t>三、支出</w:t>
      </w:r>
      <w:r>
        <w:rPr>
          <w:rStyle w:val="2Char"/>
          <w:rFonts w:ascii="黑体" w:eastAsia="黑体" w:hint="eastAsia"/>
          <w:b w:val="0"/>
        </w:rPr>
        <w:t>决算情况说明</w:t>
      </w:r>
      <w:bookmarkEnd w:id="47"/>
      <w:bookmarkEnd w:id="48"/>
    </w:p>
    <w:p>
      <w:pPr>
        <w:spacing w:line="353" w:lineRule="auto"/>
        <w:ind w:firstLine="640"/>
        <w:rPr>
          <w:rFonts w:ascii="仿宋" w:eastAsia="仿宋"/>
          <w:color w:val="000000"/>
          <w:sz w:val="32"/>
          <w:szCs w:val="32"/>
        </w:rPr>
      </w:pPr>
      <w:r>
        <w:rPr>
          <w:rFonts w:ascii="仿宋" w:eastAsia="仿宋"/>
          <w:color w:val="000000"/>
          <w:sz w:val="32"/>
          <w:szCs w:val="32"/>
        </w:rPr>
        <w:t>20</w:t>
      </w:r>
      <w:r>
        <w:rPr>
          <w:rFonts w:ascii="仿宋" w:eastAsia="仿宋" w:hint="eastAsia"/>
          <w:color w:val="000000"/>
          <w:sz w:val="32"/>
          <w:szCs w:val="32"/>
        </w:rPr>
        <w:t>21年本年支出合计734.16万元，其中：基本支出584.64万元，占79.63</w:t>
      </w:r>
      <w:r>
        <w:rPr>
          <w:rFonts w:ascii="仿宋" w:eastAsia="仿宋"/>
          <w:color w:val="000000"/>
          <w:sz w:val="32"/>
          <w:szCs w:val="32"/>
        </w:rPr>
        <w:t>%</w:t>
      </w:r>
      <w:r>
        <w:rPr>
          <w:rFonts w:ascii="仿宋" w:eastAsia="仿宋" w:hint="eastAsia"/>
          <w:color w:val="000000"/>
          <w:sz w:val="32"/>
          <w:szCs w:val="32"/>
        </w:rPr>
        <w:t>；项目支出149.52万元，占20.37</w:t>
      </w:r>
      <w:r>
        <w:rPr>
          <w:rFonts w:ascii="仿宋" w:eastAsia="仿宋"/>
          <w:color w:val="000000"/>
          <w:sz w:val="32"/>
          <w:szCs w:val="32"/>
        </w:rPr>
        <w:t>%</w:t>
      </w:r>
      <w:r>
        <w:rPr>
          <w:rFonts w:ascii="仿宋" w:eastAsia="仿宋" w:hint="eastAsia"/>
          <w:color w:val="000000"/>
          <w:sz w:val="32"/>
          <w:szCs w:val="32"/>
        </w:rPr>
        <w:t>。</w:t>
      </w:r>
    </w:p>
    <w:p>
      <w:pPr>
        <w:spacing w:line="600" w:lineRule="exact"/>
        <w:ind w:firstLine="640"/>
        <w:rPr>
          <w:rFonts w:ascii="仿宋" w:eastAsia="仿宋"/>
          <w:color w:val="000000"/>
          <w:sz w:val="32"/>
          <w:szCs w:val="32"/>
        </w:rPr>
      </w:pPr>
      <w:r>
        <w:rPr>
          <w:rFonts w:ascii="仿宋" w:eastAsia="仿宋"/>
          <w:color w:val="000000"/>
          <w:sz w:val="32"/>
          <w:szCs w:val="32"/>
        </w:rPr>
        <w:drawing>
          <wp:anchor distT="0" distB="0" distL="114300" distR="114300" simplePos="0" relativeHeight="2" behindDoc="1" locked="0" layoutInCell="1" hidden="0" allowOverlap="1">
            <wp:simplePos x="0" y="0"/>
            <wp:positionH relativeFrom="column">
              <wp:posOffset>-114300</wp:posOffset>
            </wp:positionH>
            <wp:positionV relativeFrom="paragraph">
              <wp:posOffset>104775</wp:posOffset>
            </wp:positionV>
            <wp:extent cx="5029200" cy="2524125"/>
            <wp:effectExtent l="0" t="0" r="0" b="0"/>
            <wp:wrapNone/>
            <wp:docPr id="3" name="对象 9"/>
            <wp:cNvGraphicFramePr>
              <a:graphicFrameLocks noChangeAspect="1"/>
            </wp:cNvGraphicFramePr>
            <a:graphic>
              <a:graphicData uri="http://schemas.openxmlformats.org/drawingml/2006/chart">
                <c:chart xmlns:c="http://schemas.openxmlformats.org/drawingml/2006/chart" r:id="rId5"/>
              </a:graphicData>
            </a:graphic>
          </wp:anchor>
        </w:drawing>
      </w:r>
    </w:p>
    <w:p>
      <w:pPr>
        <w:spacing w:line="600" w:lineRule="exact"/>
        <w:ind w:firstLine="640"/>
        <w:rPr>
          <w:rFonts w:ascii="仿宋" w:eastAsia="仿宋"/>
          <w:color w:val="000000"/>
          <w:sz w:val="32"/>
          <w:szCs w:val="32"/>
        </w:rPr>
      </w:pPr>
    </w:p>
    <w:p>
      <w:pPr>
        <w:spacing w:line="600" w:lineRule="exact"/>
        <w:ind w:firstLine="640"/>
        <w:rPr>
          <w:rFonts w:ascii="仿宋" w:eastAsia="仿宋"/>
          <w:color w:val="000000"/>
          <w:sz w:val="32"/>
          <w:szCs w:val="32"/>
        </w:rPr>
      </w:pPr>
    </w:p>
    <w:p>
      <w:pPr>
        <w:tabs>
          <w:tab w:val="left" w:pos="4005"/>
        </w:tabs>
        <w:spacing w:line="600" w:lineRule="exact"/>
        <w:ind w:firstLine="640"/>
        <w:rPr>
          <w:rFonts w:ascii="仿宋" w:eastAsia="仿宋"/>
          <w:color w:val="000000"/>
          <w:sz w:val="32"/>
          <w:szCs w:val="32"/>
        </w:rPr>
      </w:pPr>
      <w:r>
        <w:rPr>
          <w:rFonts w:ascii="仿宋" w:eastAsia="仿宋"/>
          <w:color w:val="000000"/>
          <w:sz w:val="32"/>
          <w:szCs w:val="32"/>
        </w:rPr>
        <w:tab/>
      </w:r>
    </w:p>
    <w:p>
      <w:pPr>
        <w:tabs>
          <w:tab w:val="left" w:pos="4005"/>
        </w:tabs>
        <w:spacing w:line="600" w:lineRule="exact"/>
        <w:ind w:firstLine="640"/>
        <w:rPr>
          <w:rFonts w:ascii="仿宋" w:eastAsia="仿宋"/>
          <w:color w:val="000000"/>
          <w:sz w:val="32"/>
          <w:szCs w:val="32"/>
        </w:rPr>
      </w:pPr>
      <w:r>
        <w:rPr>
          <w:rFonts w:ascii="仿宋" w:eastAsia="仿宋"/>
          <w:color w:val="000000"/>
          <w:sz w:val="32"/>
          <w:szCs w:val="32"/>
        </w:rPr>
        <w:tab/>
      </w:r>
    </w:p>
    <w:p>
      <w:pPr>
        <w:spacing w:line="600" w:lineRule="exact"/>
        <w:ind w:firstLine="640"/>
        <w:rPr>
          <w:rFonts w:ascii="仿宋" w:eastAsia="仿宋"/>
          <w:color w:val="000000"/>
          <w:sz w:val="32"/>
          <w:szCs w:val="32"/>
        </w:rPr>
      </w:pPr>
    </w:p>
    <w:p>
      <w:pPr>
        <w:spacing w:line="600" w:lineRule="exact"/>
        <w:ind w:firstLineChars="200" w:firstLine="640"/>
        <w:rPr>
          <w:rFonts w:ascii="仿宋" w:eastAsia="仿宋"/>
          <w:color w:val="000000"/>
          <w:sz w:val="32"/>
          <w:szCs w:val="32"/>
          <w14:textFill>
            <w14:solidFill>
              <w14:srgbClr w14:val="000000"/>
            </w14:solidFill>
          </w14:textFill>
        </w:rPr>
      </w:pPr>
    </w:p>
    <w:p>
      <w:pPr>
        <w:spacing w:line="600" w:lineRule="exact"/>
        <w:ind w:firstLineChars="200" w:firstLine="640"/>
        <w:rPr>
          <w:rFonts w:ascii="仿宋" w:eastAsia="仿宋"/>
          <w:color w:val="000000"/>
          <w:sz w:val="32"/>
          <w:szCs w:val="32"/>
          <w14:textFill>
            <w14:solidFill>
              <w14:srgbClr w14:val="000000"/>
            </w14:solidFill>
          </w14:textFill>
        </w:rPr>
      </w:pPr>
      <w:r>
        <w:rPr>
          <w:rFonts w:ascii="仿宋" w:eastAsia="仿宋" w:hint="eastAsia"/>
          <w:color w:val="000000"/>
          <w:sz w:val="32"/>
          <w:szCs w:val="32"/>
          <w14:textFill>
            <w14:solidFill>
              <w14:srgbClr w14:val="000000"/>
            </w14:solidFill>
          </w14:textFill>
        </w:rPr>
        <w:t>（图3：支出决算结构图）（饼状图）</w:t>
      </w:r>
    </w:p>
    <w:p>
      <w:pPr>
        <w:spacing w:line="600" w:lineRule="exact"/>
        <w:ind w:firstLineChars="200" w:firstLine="640"/>
        <w:outlineLvl w:val="1"/>
        <w:rPr>
          <w:rStyle w:val="2Char"/>
          <w:rFonts w:ascii="黑体" w:eastAsia="黑体"/>
          <w:b w:val="0"/>
        </w:rPr>
      </w:pPr>
      <w:bookmarkStart w:id="49" w:name="_Toc15377208"/>
      <w:bookmarkStart w:id="50" w:name="_Toc30197"/>
      <w:r>
        <w:rPr>
          <w:rFonts w:ascii="黑体" w:eastAsia="黑体" w:hint="eastAsia"/>
          <w:color w:val="000000"/>
          <w:sz w:val="32"/>
          <w:szCs w:val="32"/>
        </w:rPr>
        <w:t>四、财</w:t>
      </w:r>
      <w:r>
        <w:rPr>
          <w:rStyle w:val="2Char"/>
          <w:rFonts w:ascii="黑体" w:eastAsia="黑体" w:hint="eastAsia"/>
          <w:b w:val="0"/>
        </w:rPr>
        <w:t>政拨款收入支出决算总体情况说明</w:t>
      </w:r>
      <w:bookmarkEnd w:id="49"/>
      <w:bookmarkEnd w:id="50"/>
    </w:p>
    <w:p>
      <w:pPr>
        <w:spacing w:line="600" w:lineRule="exact"/>
        <w:ind w:firstLineChars="200" w:firstLine="640"/>
        <w:rPr>
          <w:rFonts w:ascii="仿宋" w:eastAsia="仿宋"/>
          <w:color w:val="000000"/>
          <w:sz w:val="32"/>
          <w:szCs w:val="32"/>
        </w:rPr>
      </w:pPr>
      <w:r>
        <w:rPr>
          <w:rFonts w:ascii="仿宋" w:eastAsia="仿宋"/>
          <w:color w:val="000000"/>
          <w:sz w:val="32"/>
          <w:szCs w:val="32"/>
        </w:rPr>
        <w:t>20</w:t>
      </w:r>
      <w:r>
        <w:rPr>
          <w:rFonts w:ascii="仿宋" w:eastAsia="仿宋" w:hint="eastAsia"/>
          <w:color w:val="000000"/>
          <w:sz w:val="32"/>
          <w:szCs w:val="32"/>
        </w:rPr>
        <w:t>21年财政拨款收、支总计734.14万元。与</w:t>
      </w:r>
      <w:r>
        <w:rPr>
          <w:rFonts w:ascii="仿宋" w:eastAsia="仿宋"/>
          <w:color w:val="000000"/>
          <w:sz w:val="32"/>
          <w:szCs w:val="32"/>
        </w:rPr>
        <w:t>20</w:t>
      </w:r>
      <w:r>
        <w:rPr>
          <w:rFonts w:ascii="仿宋" w:eastAsia="仿宋" w:hint="eastAsia"/>
          <w:color w:val="000000"/>
          <w:sz w:val="32"/>
          <w:szCs w:val="32"/>
        </w:rPr>
        <w:t>20年相比，财政拨款收、支总计各减少70.78万元，减少8.79</w:t>
      </w:r>
      <w:r>
        <w:rPr>
          <w:rFonts w:ascii="仿宋" w:eastAsia="仿宋"/>
          <w:color w:val="000000"/>
          <w:sz w:val="32"/>
          <w:szCs w:val="32"/>
        </w:rPr>
        <w:t>%</w:t>
      </w:r>
      <w:r>
        <w:rPr>
          <w:rFonts w:ascii="仿宋" w:eastAsia="仿宋" w:hint="eastAsia"/>
          <w:color w:val="000000"/>
          <w:sz w:val="32"/>
          <w:szCs w:val="32"/>
        </w:rPr>
        <w:t>。主要变动原因为</w:t>
      </w:r>
      <w:r>
        <w:rPr>
          <w:rFonts w:ascii="仿宋" w:eastAsia="仿宋" w:hint="eastAsia"/>
          <w:sz w:val="32"/>
          <w:szCs w:val="32"/>
        </w:rPr>
        <w:t>项目资金减少</w:t>
      </w:r>
      <w:r>
        <w:rPr>
          <w:rFonts w:ascii="仿宋" w:eastAsia="仿宋" w:hint="eastAsia"/>
          <w:color w:val="000000"/>
          <w:sz w:val="32"/>
          <w:szCs w:val="32"/>
        </w:rPr>
        <w:t>。</w:t>
      </w:r>
    </w:p>
    <w:p>
      <w:pPr>
        <w:spacing w:line="600" w:lineRule="exact"/>
        <w:rPr>
          <w:rFonts w:ascii="仿宋" w:eastAsia="仿宋"/>
          <w:color w:val="000000"/>
          <w:sz w:val="32"/>
          <w:szCs w:val="32"/>
          <w14:textFill>
            <w14:solidFill>
              <w14:srgbClr w14:val="000000"/>
            </w14:solidFill>
          </w14:textFill>
        </w:rPr>
      </w:pPr>
      <w:r>
        <w:rPr>
          <w:rFonts w:ascii="黑体" w:eastAsia="黑体" w:hint="eastAsia"/>
          <w:color w:val="000000"/>
          <w:sz w:val="32"/>
          <w:szCs w:val="32"/>
        </w:rPr>
        <w:drawing>
          <wp:anchor distT="0" distB="0" distL="114300" distR="114300" simplePos="0" relativeHeight="26" behindDoc="0" locked="0" layoutInCell="1" hidden="0" allowOverlap="1">
            <wp:simplePos x="0" y="0"/>
            <wp:positionH relativeFrom="column">
              <wp:posOffset>371475</wp:posOffset>
            </wp:positionH>
            <wp:positionV relativeFrom="paragraph">
              <wp:posOffset>104139</wp:posOffset>
            </wp:positionV>
            <wp:extent cx="4438650" cy="2334260"/>
            <wp:effectExtent l="0" t="0" r="27" b="4"/>
            <wp:wrapSquare wrapText="bothSides"/>
            <wp:docPr id="4" name="对象 2"/>
            <wp:cNvGraphicFramePr>
              <a:graphicFrameLocks noChangeAspect="1"/>
            </wp:cNvGraphicFramePr>
            <a:graphic>
              <a:graphicData uri="http://schemas.openxmlformats.org/drawingml/2006/chart">
                <c:chart xmlns:c="http://schemas.openxmlformats.org/drawingml/2006/chart" r:id="rId6"/>
              </a:graphicData>
            </a:graphic>
          </wp:anchor>
        </w:drawing>
      </w:r>
    </w:p>
    <w:p>
      <w:pPr>
        <w:spacing w:line="600" w:lineRule="exact"/>
        <w:rPr>
          <w:rFonts w:ascii="黑体" w:eastAsia="黑体"/>
          <w:color w:val="000000"/>
          <w:sz w:val="32"/>
          <w:szCs w:val="32"/>
        </w:rPr>
      </w:pPr>
      <w:r>
        <w:rPr>
          <w:rFonts w:ascii="仿宋" w:eastAsia="仿宋" w:hint="eastAsia"/>
          <w:color w:val="000000"/>
          <w:sz w:val="32"/>
          <w:szCs w:val="32"/>
          <w14:textFill>
            <w14:solidFill>
              <w14:srgbClr w14:val="000000"/>
            </w14:solidFill>
          </w14:textFill>
        </w:rPr>
        <w:t>（图4：财政拨款收、支决算总计变动情况）（柱状图）</w:t>
      </w:r>
      <w:bookmarkStart w:id="51" w:name="_Toc15377209"/>
    </w:p>
    <w:p>
      <w:pPr>
        <w:spacing w:line="600" w:lineRule="exact"/>
        <w:ind w:firstLineChars="200" w:firstLine="640"/>
        <w:outlineLvl w:val="1"/>
        <w:rPr>
          <w:rStyle w:val="2Char"/>
          <w:rFonts w:ascii="黑体" w:eastAsia="黑体"/>
          <w:b w:val="0"/>
        </w:rPr>
      </w:pPr>
      <w:bookmarkStart w:id="52" w:name="_Toc28620"/>
      <w:r>
        <w:rPr>
          <w:rFonts w:ascii="黑体" w:eastAsia="黑体" w:hint="eastAsia"/>
          <w:color w:val="000000"/>
          <w:sz w:val="32"/>
          <w:szCs w:val="32"/>
        </w:rPr>
        <w:t>五、</w:t>
      </w:r>
      <w:r>
        <w:rPr>
          <w:rFonts w:ascii="黑体" w:eastAsia="黑体" w:hint="eastAsia"/>
          <w:b/>
          <w:color w:val="000000"/>
          <w:sz w:val="32"/>
          <w:szCs w:val="32"/>
        </w:rPr>
        <w:t>一</w:t>
      </w:r>
      <w:r>
        <w:rPr>
          <w:rStyle w:val="2Char"/>
          <w:rFonts w:ascii="黑体" w:eastAsia="黑体" w:hint="eastAsia"/>
          <w:b w:val="0"/>
        </w:rPr>
        <w:t>般公共预算财政拨款支出决算情况说明</w:t>
      </w:r>
      <w:bookmarkEnd w:id="51"/>
      <w:bookmarkEnd w:id="52"/>
    </w:p>
    <w:p>
      <w:pPr>
        <w:spacing w:line="600" w:lineRule="exact"/>
        <w:ind w:firstLineChars="200" w:firstLine="640"/>
        <w:outlineLvl w:val="2"/>
        <w:rPr>
          <w:rFonts w:ascii="楷体" w:eastAsia="楷体"/>
          <w:b/>
          <w:color w:val="000000"/>
          <w:sz w:val="32"/>
          <w:szCs w:val="32"/>
        </w:rPr>
      </w:pPr>
      <w:bookmarkStart w:id="53" w:name="_Toc15377210"/>
      <w:r>
        <w:rPr>
          <w:rFonts w:ascii="楷体" w:eastAsia="楷体" w:hint="eastAsia"/>
          <w:b/>
          <w:color w:val="000000"/>
          <w:sz w:val="32"/>
          <w:szCs w:val="32"/>
        </w:rPr>
        <w:t>（一）一般公共预算财政拨款支出决算总体情况</w:t>
      </w:r>
      <w:bookmarkEnd w:id="53"/>
    </w:p>
    <w:p>
      <w:pPr>
        <w:spacing w:line="600" w:lineRule="exact"/>
        <w:ind w:firstLineChars="200" w:firstLine="640"/>
        <w:rPr>
          <w:rFonts w:ascii="仿宋" w:eastAsia="仿宋"/>
          <w:color w:val="000000"/>
          <w:sz w:val="32"/>
          <w:szCs w:val="32"/>
        </w:rPr>
      </w:pPr>
      <w:r>
        <w:rPr>
          <w:rFonts w:ascii="仿宋" w:eastAsia="仿宋"/>
          <w:color w:val="000000"/>
          <w:sz w:val="32"/>
          <w:szCs w:val="32"/>
        </w:rPr>
        <w:drawing>
          <wp:anchor distT="0" distB="0" distL="114300" distR="114300" simplePos="0" relativeHeight="28" behindDoc="0" locked="0" layoutInCell="1" hidden="0" allowOverlap="1">
            <wp:simplePos x="0" y="0"/>
            <wp:positionH relativeFrom="column">
              <wp:posOffset>219075</wp:posOffset>
            </wp:positionH>
            <wp:positionV relativeFrom="paragraph">
              <wp:posOffset>1933575</wp:posOffset>
            </wp:positionV>
            <wp:extent cx="4829174" cy="1564005"/>
            <wp:effectExtent l="0" t="0" r="22" b="24"/>
            <wp:wrapSquare wrapText="bothSides"/>
            <wp:docPr id="5" name="对象 2"/>
            <wp:cNvGraphicFramePr>
              <a:graphicFrameLocks noChangeAspect="1"/>
            </wp:cNvGraphicFramePr>
            <a:graphic>
              <a:graphicData uri="http://schemas.openxmlformats.org/drawingml/2006/chart">
                <c:chart xmlns:c="http://schemas.openxmlformats.org/drawingml/2006/chart" r:id="rId7"/>
              </a:graphicData>
            </a:graphic>
          </wp:anchor>
        </w:drawing>
      </w:r>
      <w:r>
        <w:rPr>
          <w:rFonts w:ascii="仿宋" w:eastAsia="仿宋"/>
          <w:color w:val="000000"/>
          <w:sz w:val="32"/>
          <w:szCs w:val="32"/>
        </w:rPr>
        <w:t>20</w:t>
      </w:r>
      <w:r>
        <w:rPr>
          <w:rFonts w:ascii="仿宋" w:eastAsia="仿宋" w:hint="eastAsia"/>
          <w:color w:val="000000"/>
          <w:sz w:val="32"/>
          <w:szCs w:val="32"/>
        </w:rPr>
        <w:t>21年一般公共预算财政拨款支出729.14万元，占本年支出合计的99.32</w:t>
      </w:r>
      <w:r>
        <w:rPr>
          <w:rFonts w:ascii="仿宋" w:eastAsia="仿宋"/>
          <w:color w:val="000000"/>
          <w:sz w:val="32"/>
          <w:szCs w:val="32"/>
        </w:rPr>
        <w:t>%</w:t>
      </w:r>
      <w:r>
        <w:rPr>
          <w:rFonts w:ascii="仿宋" w:eastAsia="仿宋" w:hint="eastAsia"/>
          <w:color w:val="000000"/>
          <w:sz w:val="32"/>
          <w:szCs w:val="32"/>
        </w:rPr>
        <w:t>。与</w:t>
      </w:r>
      <w:r>
        <w:rPr>
          <w:rFonts w:ascii="仿宋" w:eastAsia="仿宋"/>
          <w:color w:val="000000"/>
          <w:sz w:val="32"/>
          <w:szCs w:val="32"/>
        </w:rPr>
        <w:t>20</w:t>
      </w:r>
      <w:r>
        <w:rPr>
          <w:rFonts w:ascii="仿宋" w:eastAsia="仿宋" w:hint="eastAsia"/>
          <w:color w:val="000000"/>
          <w:sz w:val="32"/>
          <w:szCs w:val="32"/>
        </w:rPr>
        <w:t>20年相比，一般公共预算财政拨款支出增加30.84万元，增长4.42</w:t>
      </w:r>
      <w:r>
        <w:rPr>
          <w:rFonts w:ascii="仿宋" w:eastAsia="仿宋"/>
          <w:color w:val="000000"/>
          <w:sz w:val="32"/>
          <w:szCs w:val="32"/>
        </w:rPr>
        <w:t>%</w:t>
      </w:r>
      <w:r>
        <w:rPr>
          <w:rFonts w:ascii="仿宋" w:eastAsia="仿宋" w:hint="eastAsia"/>
          <w:color w:val="000000"/>
          <w:sz w:val="32"/>
          <w:szCs w:val="32"/>
        </w:rPr>
        <w:t>。主要变动原因是安排的</w:t>
      </w:r>
      <w:r>
        <w:rPr>
          <w:rFonts w:ascii="仿宋" w:eastAsia="仿宋" w:hint="eastAsia"/>
          <w:sz w:val="32"/>
          <w:szCs w:val="32"/>
        </w:rPr>
        <w:t>项目资金科目部分由政府性基金预算财政拨款变为</w:t>
      </w:r>
      <w:r>
        <w:rPr>
          <w:rFonts w:ascii="仿宋" w:eastAsia="仿宋" w:hint="eastAsia"/>
          <w:color w:val="000000"/>
          <w:sz w:val="32"/>
          <w:szCs w:val="32"/>
        </w:rPr>
        <w:t>一般公共预算财政拨款。</w:t>
      </w:r>
    </w:p>
    <w:p>
      <w:pPr>
        <w:spacing w:line="600" w:lineRule="exact"/>
        <w:rPr>
          <w:rFonts w:ascii="仿宋" w:eastAsia="仿宋"/>
          <w:color w:val="000000"/>
          <w:sz w:val="32"/>
          <w:szCs w:val="32"/>
          <w14:textFill>
            <w14:solidFill>
              <w14:srgbClr w14:val="000000"/>
            </w14:solidFill>
          </w14:textFill>
        </w:rPr>
      </w:pPr>
      <w:r>
        <w:rPr>
          <w:rFonts w:ascii="仿宋" w:eastAsia="仿宋" w:hint="eastAsia"/>
          <w:color w:val="000000"/>
          <w:sz w:val="32"/>
          <w:szCs w:val="32"/>
          <w14:textFill>
            <w14:solidFill>
              <w14:srgbClr w14:val="000000"/>
            </w14:solidFill>
          </w14:textFill>
        </w:rPr>
        <w:t>（图5：一般公共预算财政拨款支出决算变动情况）（柱状图）</w:t>
      </w:r>
    </w:p>
    <w:p>
      <w:pPr>
        <w:spacing w:line="600" w:lineRule="exact"/>
        <w:ind w:firstLineChars="200" w:firstLine="640"/>
        <w:outlineLvl w:val="2"/>
        <w:rPr>
          <w:rFonts w:ascii="楷体" w:eastAsia="楷体"/>
          <w:b/>
          <w:color w:val="000000"/>
          <w:sz w:val="32"/>
          <w:szCs w:val="32"/>
        </w:rPr>
      </w:pPr>
      <w:bookmarkStart w:id="54" w:name="_Toc15377211"/>
      <w:r>
        <w:rPr>
          <w:rFonts w:ascii="楷体" w:eastAsia="楷体" w:hint="eastAsia"/>
          <w:b/>
          <w:color w:val="000000"/>
          <w:sz w:val="32"/>
          <w:szCs w:val="32"/>
        </w:rPr>
        <w:t>（二）一般公共预算财政拨款支出决算结构情况</w:t>
      </w:r>
      <w:bookmarkEnd w:id="54"/>
    </w:p>
    <w:p>
      <w:pPr>
        <w:spacing w:line="600" w:lineRule="exact"/>
        <w:ind w:firstLine="640"/>
        <w:rPr>
          <w:rFonts w:ascii="仿宋" w:eastAsia="仿宋"/>
          <w:color w:val="000000"/>
          <w:sz w:val="32"/>
          <w:szCs w:val="32"/>
          <w14:textFill>
            <w14:solidFill>
              <w14:srgbClr w14:val="000000"/>
            </w14:solidFill>
          </w14:textFill>
        </w:rPr>
      </w:pPr>
      <w:r>
        <w:rPr>
          <w:rFonts w:ascii="仿宋" w:eastAsia="仿宋"/>
          <w:color w:val="000000"/>
          <w:sz w:val="32"/>
          <w:szCs w:val="32"/>
        </w:rPr>
        <w:t>20</w:t>
      </w:r>
      <w:r>
        <w:rPr>
          <w:rFonts w:ascii="仿宋" w:eastAsia="仿宋" w:hint="eastAsia"/>
          <w:color w:val="000000"/>
          <w:sz w:val="32"/>
          <w:szCs w:val="32"/>
        </w:rPr>
        <w:t>21年一般公共预算财</w:t>
      </w:r>
      <w:r>
        <w:rPr>
          <w:rFonts w:ascii="仿宋" w:eastAsia="仿宋" w:hint="eastAsia"/>
          <w:color w:val="000000"/>
          <w:sz w:val="32"/>
          <w:szCs w:val="32"/>
          <w14:textFill>
            <w14:solidFill>
              <w14:srgbClr w14:val="000000"/>
            </w14:solidFill>
          </w14:textFill>
        </w:rPr>
        <w:t>政拨款支出729.14万元，主要用于以下方面</w:t>
      </w:r>
      <w:r>
        <w:rPr>
          <w:rFonts w:ascii="仿宋" w:eastAsia="仿宋"/>
          <w:color w:val="000000"/>
          <w:sz w:val="32"/>
          <w:szCs w:val="32"/>
          <w14:textFill>
            <w14:solidFill>
              <w14:srgbClr w14:val="000000"/>
            </w14:solidFill>
          </w14:textFill>
        </w:rPr>
        <w:t>:</w:t>
      </w:r>
      <w:r>
        <w:rPr>
          <w:rFonts w:ascii="仿宋" w:eastAsia="仿宋" w:hint="eastAsia"/>
          <w:color w:val="000000"/>
          <w:sz w:val="32"/>
          <w:szCs w:val="32"/>
          <w14:textFill>
            <w14:solidFill>
              <w14:srgbClr w14:val="000000"/>
            </w14:solidFill>
          </w14:textFill>
        </w:rPr>
        <w:t>一般公共服务（类）支出534.17万元，占73.26</w:t>
      </w:r>
      <w:r>
        <w:rPr>
          <w:rFonts w:ascii="仿宋" w:eastAsia="仿宋"/>
          <w:color w:val="000000"/>
          <w:sz w:val="32"/>
          <w:szCs w:val="32"/>
          <w14:textFill>
            <w14:solidFill>
              <w14:srgbClr w14:val="000000"/>
            </w14:solidFill>
          </w14:textFill>
        </w:rPr>
        <w:t>%</w:t>
      </w:r>
      <w:r>
        <w:rPr>
          <w:rFonts w:ascii="仿宋" w:eastAsia="仿宋" w:hint="eastAsia"/>
          <w:color w:val="000000"/>
          <w:sz w:val="32"/>
          <w:szCs w:val="32"/>
          <w14:textFill>
            <w14:solidFill>
              <w14:srgbClr w14:val="000000"/>
            </w14:solidFill>
          </w14:textFill>
        </w:rPr>
        <w:t>；社会保障和就业（类）支出73.76万元，占10.12</w:t>
      </w:r>
      <w:r>
        <w:rPr>
          <w:rFonts w:ascii="仿宋" w:eastAsia="仿宋"/>
          <w:color w:val="000000"/>
          <w:sz w:val="32"/>
          <w:szCs w:val="32"/>
          <w14:textFill>
            <w14:solidFill>
              <w14:srgbClr w14:val="000000"/>
            </w14:solidFill>
          </w14:textFill>
        </w:rPr>
        <w:t>%</w:t>
      </w:r>
      <w:r>
        <w:rPr>
          <w:rFonts w:ascii="仿宋" w:eastAsia="仿宋" w:hint="eastAsia"/>
          <w:color w:val="000000"/>
          <w:sz w:val="32"/>
          <w:szCs w:val="32"/>
          <w14:textFill>
            <w14:solidFill>
              <w14:srgbClr w14:val="000000"/>
            </w14:solidFill>
          </w14:textFill>
        </w:rPr>
        <w:t>；农林水支出83.72万元，占11.48</w:t>
      </w:r>
      <w:r>
        <w:rPr>
          <w:rFonts w:ascii="仿宋" w:eastAsia="仿宋"/>
          <w:color w:val="000000"/>
          <w:sz w:val="32"/>
          <w:szCs w:val="32"/>
          <w14:textFill>
            <w14:solidFill>
              <w14:srgbClr w14:val="000000"/>
            </w14:solidFill>
          </w14:textFill>
        </w:rPr>
        <w:t>%</w:t>
      </w:r>
      <w:r>
        <w:rPr>
          <w:rFonts w:ascii="仿宋" w:eastAsia="仿宋" w:hint="eastAsia"/>
          <w:color w:val="000000"/>
          <w:sz w:val="32"/>
          <w:szCs w:val="32"/>
          <w14:textFill>
            <w14:solidFill>
              <w14:srgbClr w14:val="000000"/>
            </w14:solidFill>
          </w14:textFill>
        </w:rPr>
        <w:t>；住房保障支出37.49万元，占5.14</w:t>
      </w:r>
      <w:r>
        <w:rPr>
          <w:rFonts w:ascii="仿宋" w:eastAsia="仿宋"/>
          <w:color w:val="000000"/>
          <w:sz w:val="32"/>
          <w:szCs w:val="32"/>
          <w14:textFill>
            <w14:solidFill>
              <w14:srgbClr w14:val="000000"/>
            </w14:solidFill>
          </w14:textFill>
        </w:rPr>
        <w:t>%</w:t>
      </w:r>
      <w:r>
        <w:rPr>
          <w:rFonts w:ascii="仿宋" w:eastAsia="仿宋" w:hint="eastAsia"/>
          <w:color w:val="000000"/>
          <w:sz w:val="32"/>
          <w:szCs w:val="32"/>
          <w14:textFill>
            <w14:solidFill>
              <w14:srgbClr w14:val="000000"/>
            </w14:solidFill>
          </w14:textFill>
        </w:rPr>
        <w:t>。</w:t>
      </w:r>
    </w:p>
    <w:p>
      <w:pPr>
        <w:spacing w:line="600" w:lineRule="exact"/>
        <w:ind w:firstLineChars="200" w:firstLine="640"/>
        <w:rPr>
          <w:rFonts w:ascii="仿宋" w:eastAsia="仿宋"/>
          <w:color w:val="000000"/>
          <w:sz w:val="32"/>
          <w:szCs w:val="32"/>
        </w:rPr>
      </w:pPr>
      <w:r>
        <w:rPr>
          <w:rFonts w:ascii="仿宋" w:eastAsia="仿宋" w:hint="eastAsia"/>
          <w:color w:val="000000"/>
          <w:sz w:val="32"/>
          <w:szCs w:val="32"/>
        </w:rPr>
        <w:drawing>
          <wp:anchor distT="0" distB="0" distL="114300" distR="114300" simplePos="0" relativeHeight="30" behindDoc="0" locked="0" layoutInCell="1" hidden="0" allowOverlap="0">
            <wp:simplePos x="0" y="0"/>
            <wp:positionH relativeFrom="column">
              <wp:posOffset>114300</wp:posOffset>
            </wp:positionH>
            <wp:positionV relativeFrom="paragraph">
              <wp:posOffset>48895</wp:posOffset>
            </wp:positionV>
            <wp:extent cx="4772025" cy="1422399"/>
            <wp:effectExtent l="0" t="0" r="22" b="43"/>
            <wp:wrapSquare wrapText="bothSides"/>
            <wp:docPr id="6" name="对象 2"/>
            <wp:cNvGraphicFramePr>
              <a:graphicFrameLocks noChangeAspect="1"/>
            </wp:cNvGraphicFramePr>
            <a:graphic>
              <a:graphicData uri="http://schemas.openxmlformats.org/drawingml/2006/chart">
                <c:chart xmlns:c="http://schemas.openxmlformats.org/drawingml/2006/chart" r:id="rId8"/>
              </a:graphicData>
            </a:graphic>
          </wp:anchor>
        </w:drawing>
      </w:r>
    </w:p>
    <w:p>
      <w:pPr>
        <w:spacing w:line="600" w:lineRule="exact"/>
        <w:ind w:firstLineChars="200" w:firstLine="640"/>
        <w:rPr>
          <w:rFonts w:ascii="仿宋" w:eastAsia="仿宋"/>
          <w:color w:val="000000"/>
          <w:sz w:val="32"/>
          <w:szCs w:val="32"/>
        </w:rPr>
      </w:pPr>
    </w:p>
    <w:p>
      <w:pPr>
        <w:spacing w:line="600" w:lineRule="exact"/>
        <w:rPr>
          <w:rFonts w:ascii="仿宋" w:eastAsia="仿宋"/>
          <w:color w:val="000000"/>
          <w:sz w:val="32"/>
          <w:szCs w:val="32"/>
        </w:rPr>
      </w:pPr>
    </w:p>
    <w:p>
      <w:pPr>
        <w:spacing w:line="600" w:lineRule="exact"/>
        <w:rPr>
          <w:rFonts w:ascii="仿宋" w:eastAsia="仿宋"/>
          <w:color w:val="000000"/>
          <w:sz w:val="32"/>
          <w:szCs w:val="32"/>
        </w:rPr>
      </w:pPr>
    </w:p>
    <w:p>
      <w:pPr>
        <w:spacing w:line="600" w:lineRule="exact"/>
        <w:rPr>
          <w:rFonts w:ascii="仿宋" w:eastAsia="仿宋"/>
          <w:color w:val="000000"/>
          <w:sz w:val="32"/>
          <w:szCs w:val="32"/>
        </w:rPr>
      </w:pPr>
      <w:r>
        <w:rPr>
          <w:rFonts w:ascii="仿宋" w:eastAsia="仿宋" w:hint="eastAsia"/>
          <w:color w:val="000000"/>
          <w:sz w:val="32"/>
          <w:szCs w:val="32"/>
        </w:rPr>
        <w:t>（图6：一般公共预算财政拨款支出决算结构）（饼状图）</w:t>
      </w:r>
    </w:p>
    <w:p>
      <w:pPr>
        <w:spacing w:line="600" w:lineRule="exact"/>
        <w:ind w:firstLineChars="200" w:firstLine="640"/>
        <w:outlineLvl w:val="2"/>
        <w:rPr>
          <w:rFonts w:ascii="楷体" w:eastAsia="楷体"/>
          <w:b/>
          <w:color w:val="000000"/>
          <w:sz w:val="32"/>
          <w:szCs w:val="32"/>
        </w:rPr>
      </w:pPr>
      <w:bookmarkStart w:id="55" w:name="_Toc15377212"/>
      <w:r>
        <w:rPr>
          <w:rFonts w:ascii="楷体" w:eastAsia="楷体" w:hint="eastAsia"/>
          <w:b/>
          <w:color w:val="000000"/>
          <w:sz w:val="32"/>
          <w:szCs w:val="32"/>
        </w:rPr>
        <w:t>（三）一般公共预算财政拨款支出决算具体情况</w:t>
      </w:r>
      <w:bookmarkEnd w:id="55"/>
    </w:p>
    <w:p>
      <w:pPr>
        <w:spacing w:line="600" w:lineRule="exact"/>
        <w:ind w:firstLineChars="200" w:firstLine="640"/>
        <w:outlineLvl w:val="2"/>
        <w:rPr>
          <w:rFonts w:ascii="仿宋" w:eastAsia="仿宋"/>
          <w:b/>
          <w:color w:val="FF0000"/>
          <w:sz w:val="32"/>
          <w:szCs w:val="32"/>
        </w:rPr>
      </w:pPr>
      <w:bookmarkStart w:id="56" w:name="_Toc15377444"/>
      <w:bookmarkStart w:id="57" w:name="_Toc15378460"/>
      <w:bookmarkStart w:id="58" w:name="_Toc15377213"/>
      <w:r>
        <w:rPr>
          <w:rFonts w:ascii="仿宋" w:eastAsia="仿宋" w:hint="eastAsia"/>
          <w:color w:val="000000"/>
          <w:sz w:val="32"/>
          <w:szCs w:val="32"/>
          <w14:textFill>
            <w14:solidFill>
              <w14:srgbClr w14:val="000000"/>
            </w14:solidFill>
          </w14:textFill>
        </w:rPr>
        <w:t>2021年一般公共预算支出决算数为</w:t>
      </w:r>
      <w:r>
        <w:rPr>
          <w:rFonts w:ascii="仿宋" w:eastAsia="仿宋" w:hint="eastAsia"/>
          <w:color w:val="000000"/>
          <w:sz w:val="32"/>
          <w:szCs w:val="32"/>
        </w:rPr>
        <w:t>729.14万元</w:t>
      </w:r>
      <w:r>
        <w:rPr>
          <w:rFonts w:ascii="仿宋" w:eastAsia="仿宋" w:hint="eastAsia"/>
          <w:b/>
          <w:color w:val="000000"/>
          <w:sz w:val="32"/>
          <w:szCs w:val="32"/>
          <w14:textFill>
            <w14:solidFill>
              <w14:srgbClr w14:val="000000"/>
            </w14:solidFill>
          </w14:textFill>
        </w:rPr>
        <w:t>，</w:t>
      </w:r>
      <w:r>
        <w:rPr>
          <w:rStyle w:val="22"/>
          <w:rFonts w:ascii="仿宋" w:eastAsia="仿宋" w:hint="eastAsia"/>
          <w:b w:val="0"/>
          <w:bCs/>
          <w:color w:val="000000"/>
          <w:sz w:val="32"/>
          <w:szCs w:val="32"/>
          <w14:textFill>
            <w14:solidFill>
              <w14:srgbClr w14:val="000000"/>
            </w14:solidFill>
          </w14:textFill>
        </w:rPr>
        <w:t>完成</w:t>
      </w:r>
      <w:r>
        <w:rPr>
          <w:rStyle w:val="22"/>
          <w:rFonts w:ascii="仿宋" w:eastAsia="仿宋" w:hint="eastAsia"/>
          <w:b w:val="0"/>
          <w:bCs/>
          <w:color w:val="000000"/>
          <w:sz w:val="32"/>
          <w:szCs w:val="32"/>
        </w:rPr>
        <w:t>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。其中：</w:t>
      </w:r>
      <w:bookmarkEnd w:id="56"/>
      <w:bookmarkEnd w:id="57"/>
      <w:bookmarkEnd w:id="58"/>
    </w:p>
    <w:p>
      <w:pPr>
        <w:spacing w:line="640" w:lineRule="exact"/>
        <w:ind w:firstLineChars="200" w:firstLine="640"/>
        <w:rPr>
          <w:rFonts w:ascii="仿宋" w:eastAsia="仿宋"/>
          <w:color w:val="000000"/>
          <w:sz w:val="32"/>
          <w:szCs w:val="32"/>
          <w14:textFill>
            <w14:solidFill>
              <w14:srgbClr w14:val="000000"/>
            </w14:solidFill>
          </w14:textFill>
        </w:rPr>
      </w:pPr>
      <w:r>
        <w:rPr>
          <w:rFonts w:ascii="仿宋" w:eastAsia="仿宋"/>
          <w:color w:val="000000"/>
          <w:sz w:val="32"/>
          <w:szCs w:val="32"/>
          <w14:textFill>
            <w14:solidFill>
              <w14:srgbClr w14:val="000000"/>
            </w14:solidFill>
          </w14:textFill>
        </w:rPr>
        <w:t>1.</w:t>
      </w:r>
      <w:r>
        <w:rPr>
          <w:rFonts w:ascii="仿宋" w:eastAsia="仿宋" w:hint="eastAsia"/>
          <w:color w:val="000000"/>
          <w:sz w:val="32"/>
          <w:szCs w:val="32"/>
          <w14:textFill>
            <w14:solidFill>
              <w14:srgbClr w14:val="000000"/>
            </w14:solidFill>
          </w14:textFill>
        </w:rPr>
        <w:t>一般公共服务支出（类）民族事务（款）行政运行（项）:支出决算为378.02万元，完成预算100%。</w:t>
      </w:r>
    </w:p>
    <w:p>
      <w:pPr>
        <w:spacing w:line="640" w:lineRule="exact"/>
        <w:ind w:firstLineChars="200" w:firstLine="640"/>
        <w:rPr>
          <w:rFonts w:ascii="仿宋" w:eastAsia="仿宋"/>
          <w:color w:val="000000"/>
          <w:sz w:val="32"/>
          <w:szCs w:val="32"/>
          <w14:textFill>
            <w14:solidFill>
              <w14:srgbClr w14:val="000000"/>
            </w14:solidFill>
          </w14:textFill>
        </w:rPr>
      </w:pPr>
      <w:r>
        <w:rPr>
          <w:rFonts w:ascii="仿宋" w:eastAsia="仿宋" w:hint="eastAsia"/>
          <w:color w:val="000000"/>
          <w:sz w:val="32"/>
          <w:szCs w:val="32"/>
          <w14:textFill>
            <w14:solidFill>
              <w14:srgbClr w14:val="000000"/>
            </w14:solidFill>
          </w14:textFill>
        </w:rPr>
        <w:t>一般公共服务支出（类）民族事务（款）事业运行（项）：支出决算为96.55万元，完成预算100%。</w:t>
      </w:r>
    </w:p>
    <w:p>
      <w:pPr>
        <w:spacing w:line="640" w:lineRule="exact"/>
        <w:ind w:firstLineChars="200" w:firstLine="640"/>
        <w:rPr>
          <w:rFonts w:ascii="仿宋" w:eastAsia="仿宋"/>
          <w:color w:val="000000"/>
          <w:sz w:val="32"/>
          <w:szCs w:val="32"/>
          <w14:textFill>
            <w14:solidFill>
              <w14:srgbClr w14:val="000000"/>
            </w14:solidFill>
          </w14:textFill>
        </w:rPr>
      </w:pPr>
      <w:r>
        <w:rPr>
          <w:rFonts w:ascii="仿宋" w:eastAsia="仿宋" w:hint="eastAsia"/>
          <w:color w:val="000000"/>
          <w:sz w:val="32"/>
          <w:szCs w:val="32"/>
          <w14:textFill>
            <w14:solidFill>
              <w14:srgbClr w14:val="000000"/>
            </w14:solidFill>
          </w14:textFill>
        </w:rPr>
        <w:t>一般公共服务支出（类）民族事务（款）其他民族事务支出（项）：支出决算为58.35万元，完成预算100%。</w:t>
      </w:r>
    </w:p>
    <w:p>
      <w:pPr>
        <w:spacing w:line="640" w:lineRule="exact"/>
        <w:ind w:firstLineChars="200" w:firstLine="640"/>
        <w:rPr>
          <w:rFonts w:ascii="仿宋" w:eastAsia="仿宋"/>
          <w:color w:val="000000"/>
          <w:sz w:val="32"/>
          <w:szCs w:val="32"/>
          <w14:textFill>
            <w14:solidFill>
              <w14:srgbClr w14:val="000000"/>
            </w14:solidFill>
          </w14:textFill>
        </w:rPr>
      </w:pPr>
      <w:r>
        <w:rPr>
          <w:rFonts w:ascii="仿宋" w:eastAsia="仿宋" w:hint="eastAsia"/>
          <w:color w:val="000000"/>
          <w:sz w:val="32"/>
          <w:szCs w:val="32"/>
          <w14:textFill>
            <w14:solidFill>
              <w14:srgbClr w14:val="000000"/>
            </w14:solidFill>
          </w14:textFill>
        </w:rPr>
        <w:t>一般公共服务支出（类）组织事务（款）其他组织事务支出（项）：支出决算为1.25万元，完成预算100%。</w:t>
      </w:r>
    </w:p>
    <w:p>
      <w:pPr>
        <w:spacing w:line="640" w:lineRule="exact"/>
        <w:ind w:firstLineChars="200" w:firstLine="640"/>
        <w:rPr>
          <w:rFonts w:ascii="仿宋" w:eastAsia="仿宋"/>
          <w:color w:val="000000"/>
          <w:sz w:val="32"/>
          <w:szCs w:val="32"/>
          <w14:textFill>
            <w14:solidFill>
              <w14:srgbClr w14:val="000000"/>
            </w14:solidFill>
          </w14:textFill>
        </w:rPr>
      </w:pPr>
      <w:r>
        <w:rPr>
          <w:rFonts w:ascii="仿宋" w:eastAsia="仿宋" w:hint="eastAsia"/>
          <w:color w:val="000000"/>
          <w:sz w:val="32"/>
          <w:szCs w:val="32"/>
          <w14:textFill>
            <w14:solidFill>
              <w14:srgbClr w14:val="000000"/>
            </w14:solidFill>
          </w14:textFill>
        </w:rPr>
        <w:t>2.社会保障和就业支出（类）行政事业单位养老支出（款）行政单位离退休（项）：支出决算数为33.08万元，完成预算100%。</w:t>
      </w:r>
    </w:p>
    <w:p>
      <w:pPr>
        <w:spacing w:line="640" w:lineRule="exact"/>
        <w:ind w:firstLineChars="200" w:firstLine="640"/>
        <w:rPr>
          <w:rFonts w:ascii="仿宋" w:eastAsia="仿宋"/>
          <w:color w:val="000000"/>
          <w:sz w:val="32"/>
          <w:szCs w:val="32"/>
          <w14:textFill>
            <w14:solidFill>
              <w14:srgbClr w14:val="000000"/>
            </w14:solidFill>
          </w14:textFill>
        </w:rPr>
      </w:pPr>
      <w:r>
        <w:rPr>
          <w:rFonts w:ascii="仿宋" w:eastAsia="仿宋" w:hint="eastAsia"/>
          <w:color w:val="000000"/>
          <w:sz w:val="32"/>
          <w:szCs w:val="32"/>
          <w14:textFill>
            <w14:solidFill>
              <w14:srgbClr w14:val="000000"/>
            </w14:solidFill>
          </w14:textFill>
        </w:rPr>
        <w:t>社会保障和就业支出（类）行政事业单位养老支出（款）事业单位离退休（项）：支出决算数为6.69万元，完成预算100%。</w:t>
      </w:r>
    </w:p>
    <w:p>
      <w:pPr>
        <w:spacing w:line="640" w:lineRule="exact"/>
        <w:ind w:firstLineChars="200" w:firstLine="640"/>
        <w:rPr>
          <w:rFonts w:ascii="仿宋" w:eastAsia="仿宋"/>
          <w:color w:val="000000"/>
          <w:sz w:val="32"/>
          <w:szCs w:val="32"/>
          <w14:textFill>
            <w14:solidFill>
              <w14:srgbClr w14:val="000000"/>
            </w14:solidFill>
          </w14:textFill>
        </w:rPr>
      </w:pPr>
      <w:r>
        <w:rPr>
          <w:rFonts w:ascii="仿宋" w:eastAsia="仿宋" w:hint="eastAsia"/>
          <w:color w:val="000000"/>
          <w:sz w:val="32"/>
          <w:szCs w:val="32"/>
          <w14:textFill>
            <w14:solidFill>
              <w14:srgbClr w14:val="000000"/>
            </w14:solidFill>
          </w14:textFill>
        </w:rPr>
        <w:t>社会保障和就业支出（类）行政事业单位养老支出（款）机关事业单位基本养老保险缴费支出（项）：支出决算数为31.26万元，完成预算100%。</w:t>
      </w:r>
    </w:p>
    <w:p>
      <w:pPr>
        <w:spacing w:line="640" w:lineRule="exact"/>
        <w:ind w:firstLineChars="200" w:firstLine="640"/>
        <w:rPr>
          <w:rFonts w:ascii="仿宋" w:eastAsia="仿宋"/>
          <w:color w:val="000000"/>
          <w:sz w:val="32"/>
          <w:szCs w:val="32"/>
          <w14:textFill>
            <w14:solidFill>
              <w14:srgbClr w14:val="000000"/>
            </w14:solidFill>
          </w14:textFill>
        </w:rPr>
      </w:pPr>
      <w:r>
        <w:rPr>
          <w:rFonts w:ascii="仿宋" w:eastAsia="仿宋" w:hint="eastAsia"/>
          <w:color w:val="000000"/>
          <w:sz w:val="32"/>
          <w:szCs w:val="32"/>
          <w14:textFill>
            <w14:solidFill>
              <w14:srgbClr w14:val="000000"/>
            </w14:solidFill>
          </w14:textFill>
        </w:rPr>
        <w:t>社会保障和就业支出（类）抚恤（款）死亡抚恤（项）：支出决算数为1.53万元，完成预算100%。</w:t>
      </w:r>
    </w:p>
    <w:p>
      <w:pPr>
        <w:spacing w:line="640" w:lineRule="exact"/>
        <w:ind w:firstLineChars="200" w:firstLine="640"/>
        <w:rPr>
          <w:rFonts w:ascii="仿宋" w:eastAsia="仿宋"/>
          <w:color w:val="000000"/>
          <w:sz w:val="32"/>
          <w:szCs w:val="32"/>
          <w14:textFill>
            <w14:solidFill>
              <w14:srgbClr w14:val="000000"/>
            </w14:solidFill>
          </w14:textFill>
        </w:rPr>
      </w:pPr>
      <w:r>
        <w:rPr>
          <w:rFonts w:ascii="仿宋" w:eastAsia="仿宋" w:hint="eastAsia"/>
          <w:color w:val="000000"/>
          <w:sz w:val="32"/>
          <w:szCs w:val="32"/>
          <w14:textFill>
            <w14:solidFill>
              <w14:srgbClr w14:val="000000"/>
            </w14:solidFill>
          </w14:textFill>
        </w:rPr>
        <w:t>社会保障和就业支出（类）社会福利（款）儿童福利（项）: 支出决算数为1.20万元，完成预算100%。</w:t>
      </w:r>
    </w:p>
    <w:p>
      <w:pPr>
        <w:spacing w:line="640" w:lineRule="exact"/>
        <w:ind w:firstLineChars="200" w:firstLine="640"/>
        <w:rPr>
          <w:rFonts w:ascii="仿宋" w:eastAsia="仿宋"/>
          <w:color w:val="000000"/>
          <w:sz w:val="32"/>
          <w:szCs w:val="32"/>
          <w14:textFill>
            <w14:solidFill>
              <w14:srgbClr w14:val="000000"/>
            </w14:solidFill>
          </w14:textFill>
        </w:rPr>
      </w:pPr>
      <w:r>
        <w:rPr>
          <w:rFonts w:ascii="仿宋" w:eastAsia="仿宋" w:hint="eastAsia"/>
          <w:color w:val="000000"/>
          <w:sz w:val="32"/>
          <w:szCs w:val="32"/>
          <w14:textFill>
            <w14:solidFill>
              <w14:srgbClr w14:val="000000"/>
            </w14:solidFill>
          </w14:textFill>
        </w:rPr>
        <w:t>3.农林水支出（类）其他农林水支出（款）其他农林水支出（项）: 支出决算数为83.72万元，完成预算100%。</w:t>
      </w:r>
    </w:p>
    <w:p>
      <w:pPr>
        <w:spacing w:line="640" w:lineRule="exact"/>
        <w:ind w:firstLineChars="200" w:firstLine="640"/>
        <w:rPr>
          <w:rFonts w:ascii="仿宋" w:eastAsia="仿宋"/>
          <w:sz w:val="32"/>
          <w:szCs w:val="32"/>
        </w:rPr>
      </w:pPr>
      <w:r>
        <w:rPr>
          <w:rFonts w:ascii="仿宋" w:eastAsia="仿宋" w:hint="eastAsia"/>
          <w:color w:val="000000"/>
          <w:sz w:val="32"/>
          <w:szCs w:val="32"/>
          <w14:textFill>
            <w14:solidFill>
              <w14:srgbClr w14:val="000000"/>
            </w14:solidFill>
          </w14:textFill>
        </w:rPr>
        <w:t>4.住房保障支出（类）住房改革支出（款）住房公积金（项）：支出决算数为37.49万元，完成预算100%。</w:t>
      </w:r>
    </w:p>
    <w:p>
      <w:pPr>
        <w:tabs>
          <w:tab w:val="right" w:pos="8306"/>
        </w:tabs>
        <w:spacing w:line="600" w:lineRule="exact"/>
        <w:ind w:firstLine="640"/>
        <w:outlineLvl w:val="1"/>
        <w:rPr>
          <w:rStyle w:val="2Char"/>
        </w:rPr>
      </w:pPr>
      <w:bookmarkStart w:id="59" w:name="_Toc15377214"/>
      <w:bookmarkStart w:id="60" w:name="_Toc5283"/>
      <w:r>
        <w:rPr>
          <w:rFonts w:ascii="黑体" w:eastAsia="黑体" w:hint="eastAsia"/>
          <w:color w:val="000000"/>
          <w:sz w:val="32"/>
          <w:szCs w:val="32"/>
        </w:rPr>
        <w:t>六、</w:t>
      </w:r>
      <w:r>
        <w:rPr>
          <w:rFonts w:ascii="黑体" w:eastAsia="黑体" w:hint="eastAsia"/>
          <w:b/>
          <w:color w:val="000000"/>
          <w:sz w:val="32"/>
          <w:szCs w:val="32"/>
        </w:rPr>
        <w:t>一</w:t>
      </w:r>
      <w:r>
        <w:rPr>
          <w:rStyle w:val="2Char"/>
          <w:rFonts w:ascii="黑体" w:eastAsia="黑体" w:hint="eastAsia"/>
          <w:b w:val="0"/>
        </w:rPr>
        <w:t>般公共预算财政拨款基本支出决算情况说明</w:t>
      </w:r>
      <w:bookmarkEnd w:id="59"/>
      <w:bookmarkEnd w:id="60"/>
      <w:r>
        <w:rPr>
          <w:rStyle w:val="2Char"/>
          <w:rFonts w:ascii="黑体" w:eastAsia="黑体"/>
          <w:b w:val="0"/>
        </w:rPr>
        <w:tab/>
      </w:r>
    </w:p>
    <w:p>
      <w:pPr>
        <w:spacing w:line="600" w:lineRule="exact"/>
        <w:ind w:firstLine="645"/>
        <w:rPr>
          <w:rFonts w:ascii="仿宋" w:eastAsia="仿宋"/>
          <w:color w:val="000000"/>
          <w:sz w:val="32"/>
          <w:szCs w:val="32"/>
        </w:rPr>
      </w:pPr>
      <w:r>
        <w:rPr>
          <w:rFonts w:ascii="仿宋" w:eastAsia="仿宋"/>
          <w:color w:val="000000"/>
          <w:sz w:val="32"/>
          <w:szCs w:val="32"/>
        </w:rPr>
        <w:t>20</w:t>
      </w:r>
      <w:r>
        <w:rPr>
          <w:rFonts w:ascii="仿宋" w:eastAsia="仿宋" w:hint="eastAsia"/>
          <w:color w:val="000000"/>
          <w:sz w:val="32"/>
          <w:szCs w:val="32"/>
        </w:rPr>
        <w:t>21年一般公共预算财政拨款基本支出584.62万元，其中：</w:t>
      </w:r>
    </w:p>
    <w:p>
      <w:pPr>
        <w:spacing w:line="600" w:lineRule="exact"/>
        <w:ind w:firstLine="645"/>
        <w:rPr>
          <w:rFonts w:ascii="仿宋" w:eastAsia="仿宋"/>
          <w:color w:val="000000"/>
          <w:sz w:val="32"/>
          <w:szCs w:val="32"/>
        </w:rPr>
      </w:pPr>
      <w:r>
        <w:rPr>
          <w:rFonts w:ascii="仿宋" w:eastAsia="仿宋" w:hint="eastAsia"/>
          <w:color w:val="000000"/>
          <w:sz w:val="32"/>
          <w:szCs w:val="32"/>
        </w:rPr>
        <w:t>人员经费504.65万元，主要包括：基本工资、津贴补贴、奖金、绩效工资、机关事业单位基本养老保险缴费、职工基本医疗保险缴费、公务员医疗补助缴费、其他社会保障缴费、其他工资福利支出、抚恤金、生活补助、住房公积金等。</w:t>
      </w:r>
    </w:p>
    <w:p>
      <w:pPr>
        <w:spacing w:line="600" w:lineRule="exact"/>
        <w:ind w:firstLine="645"/>
        <w:rPr>
          <w:rFonts w:ascii="仿宋" w:eastAsia="仿宋"/>
          <w:color w:val="000000"/>
          <w:sz w:val="32"/>
          <w:szCs w:val="32"/>
        </w:rPr>
      </w:pPr>
      <w:r>
        <w:rPr>
          <w:rFonts w:ascii="仿宋" w:eastAsia="仿宋" w:hint="eastAsia"/>
          <w:color w:val="000000"/>
          <w:sz w:val="32"/>
          <w:szCs w:val="32"/>
        </w:rPr>
        <w:t>公用经费79.96万元，主要包括：办公费、水费、电费、邮电费、物业管理费、差旅费、培训费、公务接待费、劳务费、工会经费、福利费、公务用车运行维护费、其他交通费、其他商品和服务支出等。</w:t>
      </w:r>
    </w:p>
    <w:p>
      <w:pPr>
        <w:spacing w:line="600" w:lineRule="exact"/>
        <w:ind w:firstLine="640"/>
        <w:outlineLvl w:val="1"/>
        <w:rPr>
          <w:rStyle w:val="2Char"/>
          <w:rFonts w:ascii="黑体" w:eastAsia="黑体"/>
          <w:b w:val="0"/>
        </w:rPr>
      </w:pPr>
      <w:bookmarkStart w:id="61" w:name="_Toc15377215"/>
      <w:bookmarkStart w:id="62" w:name="_Toc28988"/>
      <w:r>
        <w:rPr>
          <w:rFonts w:ascii="黑体" w:eastAsia="黑体" w:hint="eastAsia"/>
          <w:color w:val="000000"/>
          <w:sz w:val="32"/>
          <w:szCs w:val="32"/>
        </w:rPr>
        <w:t>七、</w:t>
      </w:r>
      <w:r>
        <w:rPr>
          <w:rStyle w:val="2Char"/>
          <w:rFonts w:ascii="黑体" w:eastAsia="黑体" w:hint="eastAsia"/>
          <w:b w:val="0"/>
        </w:rPr>
        <w:t>“三公”经费财政拨款支出决算情况说明</w:t>
      </w:r>
      <w:bookmarkEnd w:id="61"/>
      <w:bookmarkEnd w:id="62"/>
    </w:p>
    <w:p>
      <w:pPr>
        <w:spacing w:line="600" w:lineRule="exact"/>
        <w:ind w:firstLine="640"/>
        <w:outlineLvl w:val="2"/>
        <w:rPr>
          <w:rFonts w:ascii="楷体" w:eastAsia="楷体"/>
          <w:b/>
          <w:color w:val="000000"/>
          <w:sz w:val="32"/>
          <w:szCs w:val="32"/>
        </w:rPr>
      </w:pPr>
      <w:bookmarkStart w:id="63" w:name="_Toc15377216"/>
      <w:r>
        <w:rPr>
          <w:rFonts w:ascii="楷体" w:eastAsia="楷体" w:hint="eastAsia"/>
          <w:b/>
          <w:color w:val="000000"/>
          <w:sz w:val="32"/>
          <w:szCs w:val="32"/>
        </w:rPr>
        <w:t>（一）“三公”经费财政拨款支出决算总体情况说明</w:t>
      </w:r>
      <w:bookmarkEnd w:id="63"/>
      <w:r>
        <w:rPr>
          <w:rFonts w:ascii="楷体" w:eastAsia="楷体" w:hint="eastAsia"/>
          <w:b/>
          <w:color w:val="000000"/>
          <w:sz w:val="32"/>
          <w:szCs w:val="32"/>
        </w:rPr>
        <w:t>。</w:t>
      </w:r>
    </w:p>
    <w:p>
      <w:pPr>
        <w:spacing w:line="600" w:lineRule="exact"/>
        <w:ind w:firstLine="640"/>
        <w:rPr>
          <w:rFonts w:ascii="仿宋" w:eastAsia="仿宋"/>
          <w:color w:val="000000"/>
          <w:sz w:val="32"/>
          <w:szCs w:val="32"/>
        </w:rPr>
      </w:pPr>
      <w:r>
        <w:rPr>
          <w:rFonts w:ascii="仿宋" w:eastAsia="仿宋"/>
          <w:color w:val="000000"/>
          <w:sz w:val="32"/>
          <w:szCs w:val="32"/>
        </w:rPr>
        <w:t>20</w:t>
      </w:r>
      <w:r>
        <w:rPr>
          <w:rFonts w:ascii="仿宋" w:eastAsia="仿宋" w:hint="eastAsia"/>
          <w:color w:val="000000"/>
          <w:sz w:val="32"/>
          <w:szCs w:val="32"/>
        </w:rPr>
        <w:t>21年“三公”经费财政拨款支出决算为7.1万元，受新冠疫情影响，完成年初预算数73.05%，完成年初调整后预算数100</w:t>
      </w:r>
      <w:r>
        <w:rPr>
          <w:rFonts w:ascii="仿宋" w:eastAsia="仿宋"/>
          <w:color w:val="000000"/>
          <w:sz w:val="32"/>
          <w:szCs w:val="32"/>
        </w:rPr>
        <w:t>%</w:t>
      </w:r>
      <w:r>
        <w:rPr>
          <w:rFonts w:ascii="仿宋" w:eastAsia="仿宋" w:hint="eastAsia"/>
          <w:color w:val="000000"/>
          <w:sz w:val="32"/>
          <w:szCs w:val="32"/>
        </w:rPr>
        <w:t>。</w:t>
      </w:r>
    </w:p>
    <w:p>
      <w:pPr>
        <w:spacing w:line="600" w:lineRule="exact"/>
        <w:ind w:firstLine="640"/>
        <w:outlineLvl w:val="2"/>
        <w:rPr>
          <w:rFonts w:ascii="楷体" w:eastAsia="楷体"/>
          <w:b/>
          <w:color w:val="000000"/>
          <w:sz w:val="32"/>
          <w:szCs w:val="32"/>
        </w:rPr>
      </w:pPr>
      <w:bookmarkStart w:id="64" w:name="_Toc15377217"/>
      <w:r>
        <w:rPr>
          <w:rFonts w:ascii="楷体" w:eastAsia="楷体" w:hint="eastAsia"/>
          <w:b/>
          <w:color w:val="000000"/>
          <w:sz w:val="32"/>
          <w:szCs w:val="32"/>
        </w:rPr>
        <w:t>（二）“三公”经费财政拨款支出决算具体情况说明</w:t>
      </w:r>
      <w:bookmarkEnd w:id="64"/>
      <w:r>
        <w:rPr>
          <w:rFonts w:ascii="楷体" w:eastAsia="楷体" w:hint="eastAsia"/>
          <w:b/>
          <w:color w:val="000000"/>
          <w:sz w:val="32"/>
          <w:szCs w:val="32"/>
        </w:rPr>
        <w:t>。</w:t>
      </w:r>
    </w:p>
    <w:p>
      <w:pPr>
        <w:spacing w:line="600" w:lineRule="exact"/>
        <w:ind w:firstLine="640"/>
        <w:rPr>
          <w:rFonts w:ascii="仿宋" w:eastAsia="仿宋"/>
          <w:color w:val="000000"/>
          <w:sz w:val="32"/>
          <w:szCs w:val="32"/>
        </w:rPr>
      </w:pPr>
      <w:r>
        <w:rPr>
          <w:rFonts w:ascii="仿宋" w:eastAsia="仿宋"/>
          <w:color w:val="000000"/>
          <w:sz w:val="32"/>
          <w:szCs w:val="32"/>
        </w:rPr>
        <w:t>20</w:t>
      </w:r>
      <w:r>
        <w:rPr>
          <w:rFonts w:ascii="仿宋" w:eastAsia="仿宋" w:hint="eastAsia"/>
          <w:color w:val="000000"/>
          <w:sz w:val="32"/>
          <w:szCs w:val="32"/>
        </w:rPr>
        <w:t>21年“三公”经费财政拨款支出决算中，因公出国（境）费支出决算0万元；公务用车购置及运行维护费支出决算5.96万元，占83.94</w:t>
      </w:r>
      <w:r>
        <w:rPr>
          <w:rFonts w:ascii="仿宋" w:eastAsia="仿宋"/>
          <w:color w:val="000000"/>
          <w:sz w:val="32"/>
          <w:szCs w:val="32"/>
        </w:rPr>
        <w:t>%</w:t>
      </w:r>
      <w:r>
        <w:rPr>
          <w:rFonts w:ascii="仿宋" w:eastAsia="仿宋" w:hint="eastAsia"/>
          <w:color w:val="000000"/>
          <w:sz w:val="32"/>
          <w:szCs w:val="32"/>
        </w:rPr>
        <w:t>；公务接待费支出决算1.14万元，占16.06</w:t>
      </w:r>
      <w:r>
        <w:rPr>
          <w:rFonts w:ascii="仿宋" w:eastAsia="仿宋"/>
          <w:color w:val="000000"/>
          <w:sz w:val="32"/>
          <w:szCs w:val="32"/>
        </w:rPr>
        <w:t>%</w:t>
      </w:r>
      <w:r>
        <w:rPr>
          <w:rFonts w:ascii="仿宋" w:eastAsia="仿宋" w:hint="eastAsia"/>
          <w:color w:val="000000"/>
          <w:sz w:val="32"/>
          <w:szCs w:val="32"/>
        </w:rPr>
        <w:t>。具体情况如下：</w:t>
      </w:r>
    </w:p>
    <w:p>
      <w:pPr>
        <w:spacing w:line="600" w:lineRule="exact"/>
        <w:ind w:firstLine="640"/>
        <w:rPr>
          <w:rFonts w:ascii="仿宋" w:eastAsia="仿宋"/>
          <w:color w:val="000000"/>
          <w:sz w:val="32"/>
          <w:szCs w:val="32"/>
        </w:rPr>
      </w:pPr>
      <w:r>
        <w:rPr>
          <w:rFonts w:ascii="仿宋" w:eastAsia="仿宋" w:hint="eastAsia"/>
          <w:color w:val="000000"/>
          <w:sz w:val="32"/>
          <w:szCs w:val="32"/>
        </w:rPr>
        <w:drawing>
          <wp:anchor distT="0" distB="0" distL="114300" distR="114300" simplePos="0" relativeHeight="4" behindDoc="1" locked="0" layoutInCell="1" hidden="0" allowOverlap="1">
            <wp:simplePos x="0" y="0"/>
            <wp:positionH relativeFrom="column">
              <wp:posOffset>400050</wp:posOffset>
            </wp:positionH>
            <wp:positionV relativeFrom="paragraph">
              <wp:posOffset>160655</wp:posOffset>
            </wp:positionV>
            <wp:extent cx="4968875" cy="1924685"/>
            <wp:effectExtent l="0" t="0" r="0" b="0"/>
            <wp:wrapNone/>
            <wp:docPr id="7" name="对象 3"/>
            <wp:cNvGraphicFramePr>
              <a:graphicFrameLocks noChangeAspect="1"/>
            </wp:cNvGraphicFramePr>
            <a:graphic>
              <a:graphicData uri="http://schemas.openxmlformats.org/drawingml/2006/chart">
                <c:chart xmlns:c="http://schemas.openxmlformats.org/drawingml/2006/chart" r:id="rId9"/>
              </a:graphicData>
            </a:graphic>
          </wp:anchor>
        </w:drawing>
      </w:r>
    </w:p>
    <w:p>
      <w:pPr>
        <w:tabs>
          <w:tab w:val="left" w:pos="3780"/>
        </w:tabs>
        <w:spacing w:line="600" w:lineRule="exact"/>
        <w:ind w:firstLine="640"/>
        <w:rPr>
          <w:rFonts w:ascii="仿宋" w:eastAsia="仿宋"/>
          <w:color w:val="000000"/>
          <w:sz w:val="32"/>
          <w:szCs w:val="32"/>
        </w:rPr>
      </w:pPr>
      <w:r>
        <w:rPr>
          <w:rFonts w:ascii="仿宋" w:eastAsia="仿宋"/>
          <w:color w:val="000000"/>
          <w:sz w:val="32"/>
          <w:szCs w:val="32"/>
        </w:rPr>
        <w:tab/>
      </w:r>
    </w:p>
    <w:p>
      <w:pPr>
        <w:spacing w:line="600" w:lineRule="exact"/>
        <w:ind w:firstLine="640"/>
        <w:rPr>
          <w:rFonts w:ascii="仿宋" w:eastAsia="仿宋"/>
          <w:color w:val="000000"/>
          <w:sz w:val="32"/>
          <w:szCs w:val="32"/>
        </w:rPr>
      </w:pPr>
    </w:p>
    <w:p>
      <w:pPr>
        <w:spacing w:line="600" w:lineRule="exact"/>
        <w:ind w:firstLine="640"/>
        <w:rPr>
          <w:rFonts w:ascii="仿宋" w:eastAsia="仿宋"/>
          <w:color w:val="000000"/>
          <w:sz w:val="32"/>
          <w:szCs w:val="32"/>
        </w:rPr>
      </w:pPr>
    </w:p>
    <w:p>
      <w:pPr>
        <w:spacing w:line="600" w:lineRule="exact"/>
        <w:ind w:firstLine="640"/>
        <w:rPr>
          <w:rFonts w:ascii="仿宋" w:eastAsia="仿宋"/>
          <w:color w:val="000000"/>
          <w:sz w:val="32"/>
          <w:szCs w:val="32"/>
        </w:rPr>
      </w:pPr>
      <w:r>
        <w:rPr>
          <w:rFonts w:ascii="仿宋" w:eastAsia="仿宋" w:hint="eastAsia"/>
          <w:color w:val="000000"/>
          <w:sz w:val="32"/>
          <w:szCs w:val="32"/>
        </w:rPr>
        <w:t>（图8：“三公”经费财政拨款支出结构）（饼状图）</w:t>
      </w:r>
    </w:p>
    <w:p>
      <w:pPr>
        <w:spacing w:line="600" w:lineRule="exact"/>
        <w:ind w:firstLine="640"/>
        <w:rPr>
          <w:rFonts w:ascii="仿宋" w:eastAsia="仿宋_GB2312" w:hAnsi="仿宋"/>
          <w:color w:val="000000"/>
          <w:sz w:val="32"/>
          <w:szCs w:val="32"/>
        </w:rPr>
      </w:pPr>
      <w:r>
        <w:rPr>
          <w:rFonts w:ascii="仿宋" w:eastAsia="仿宋"/>
          <w:color w:val="000000"/>
          <w:sz w:val="32"/>
          <w:szCs w:val="32"/>
        </w:rPr>
        <w:t>1.</w:t>
      </w:r>
      <w:r>
        <w:rPr>
          <w:rFonts w:ascii="仿宋" w:eastAsia="仿宋" w:hint="eastAsia"/>
          <w:color w:val="000000"/>
          <w:sz w:val="32"/>
          <w:szCs w:val="32"/>
        </w:rPr>
        <w:t>因公出国（境）经费支出0万元，</w:t>
      </w:r>
      <w:r>
        <w:rPr>
          <w:rStyle w:val="22"/>
          <w:rFonts w:ascii="仿宋" w:eastAsia="仿宋" w:hint="eastAsia"/>
          <w:b w:val="0"/>
          <w:bCs/>
          <w:color w:val="000000"/>
          <w:sz w:val="32"/>
          <w:szCs w:val="32"/>
        </w:rPr>
        <w:t>完成预算0</w:t>
      </w:r>
      <w:r>
        <w:rPr>
          <w:rStyle w:val="22"/>
          <w:rFonts w:ascii="仿宋" w:eastAsia="仿宋"/>
          <w:b w:val="0"/>
          <w:bCs/>
          <w:color w:val="000000"/>
          <w:sz w:val="32"/>
          <w:szCs w:val="32"/>
        </w:rPr>
        <w:t>%</w:t>
      </w:r>
      <w:r>
        <w:rPr>
          <w:rStyle w:val="22"/>
          <w:rFonts w:ascii="仿宋" w:eastAsia="仿宋" w:hint="eastAsia"/>
          <w:b w:val="0"/>
          <w:bCs/>
          <w:color w:val="000000"/>
          <w:sz w:val="32"/>
          <w:szCs w:val="32"/>
        </w:rPr>
        <w:t>。</w:t>
      </w:r>
      <w:r>
        <w:rPr>
          <w:rFonts w:ascii="仿宋" w:eastAsia="仿宋" w:hint="eastAsia"/>
          <w:color w:val="000000"/>
          <w:sz w:val="32"/>
          <w:szCs w:val="32"/>
        </w:rPr>
        <w:t>全年安排因公出国（境）团组0次，出国（境）0人。</w:t>
      </w:r>
      <w:r>
        <w:rPr>
          <w:rFonts w:ascii="仿宋_GB2312" w:eastAsia="仿宋_GB2312" w:hint="eastAsia"/>
          <w:sz w:val="32"/>
          <w:szCs w:val="32"/>
        </w:rPr>
        <w:t>因公出国（境）支出决算与2020年持平。</w:t>
      </w:r>
    </w:p>
    <w:p>
      <w:pPr>
        <w:spacing w:line="600" w:lineRule="exact"/>
        <w:ind w:firstLine="640"/>
        <w:rPr>
          <w:rFonts w:ascii="仿宋" w:eastAsia="仿宋"/>
          <w:b/>
          <w:color w:val="000000"/>
          <w:sz w:val="32"/>
          <w:szCs w:val="32"/>
        </w:rPr>
      </w:pPr>
      <w:r>
        <w:rPr>
          <w:rFonts w:ascii="仿宋" w:eastAsia="仿宋"/>
          <w:color w:val="000000"/>
          <w:sz w:val="32"/>
          <w:szCs w:val="32"/>
        </w:rPr>
        <w:t>2.</w:t>
      </w:r>
      <w:r>
        <w:rPr>
          <w:rFonts w:ascii="仿宋" w:eastAsia="仿宋" w:hint="eastAsia"/>
          <w:color w:val="000000"/>
          <w:sz w:val="32"/>
          <w:szCs w:val="32"/>
        </w:rPr>
        <w:t>公务用车购置及运行维护费支出5.96万元,</w:t>
      </w:r>
      <w:r>
        <w:rPr>
          <w:rStyle w:val="22"/>
          <w:rFonts w:ascii="仿宋" w:eastAsia="仿宋" w:hint="eastAsia"/>
          <w:b w:val="0"/>
          <w:bCs/>
          <w:color w:val="000000"/>
          <w:sz w:val="32"/>
          <w:szCs w:val="32"/>
        </w:rPr>
        <w:t>完成年初预算数73.58%，完成年初调整后预算数100</w:t>
      </w:r>
      <w:r>
        <w:rPr>
          <w:rStyle w:val="22"/>
          <w:rFonts w:ascii="仿宋" w:eastAsia="仿宋"/>
          <w:b w:val="0"/>
          <w:bCs/>
          <w:color w:val="000000"/>
          <w:sz w:val="32"/>
          <w:szCs w:val="32"/>
        </w:rPr>
        <w:t>%</w:t>
      </w:r>
      <w:r>
        <w:rPr>
          <w:rStyle w:val="22"/>
          <w:rFonts w:ascii="仿宋" w:eastAsia="仿宋" w:hint="eastAsia"/>
          <w:b w:val="0"/>
          <w:bCs/>
          <w:color w:val="000000"/>
          <w:sz w:val="32"/>
          <w:szCs w:val="32"/>
        </w:rPr>
        <w:t>。</w:t>
      </w:r>
      <w:r>
        <w:rPr>
          <w:rFonts w:ascii="仿宋" w:eastAsia="仿宋" w:hint="eastAsia"/>
          <w:color w:val="000000"/>
          <w:sz w:val="32"/>
          <w:szCs w:val="32"/>
        </w:rPr>
        <w:t>公务用车购置及运行维护费支出决算比2020年增加0.51万元，增长9.36</w:t>
      </w:r>
      <w:r>
        <w:rPr>
          <w:rFonts w:ascii="仿宋" w:eastAsia="仿宋"/>
          <w:color w:val="000000"/>
          <w:sz w:val="32"/>
          <w:szCs w:val="32"/>
        </w:rPr>
        <w:t>%</w:t>
      </w:r>
      <w:r>
        <w:rPr>
          <w:rFonts w:ascii="仿宋" w:eastAsia="仿宋" w:hint="eastAsia"/>
          <w:color w:val="000000"/>
          <w:sz w:val="32"/>
          <w:szCs w:val="32"/>
        </w:rPr>
        <w:t>。主要原因是公务车辆随着使用年限增加，运行维护费用增长。</w:t>
      </w:r>
    </w:p>
    <w:p>
      <w:pPr>
        <w:spacing w:line="600" w:lineRule="exact"/>
        <w:ind w:firstLineChars="200" w:firstLine="640"/>
        <w:rPr>
          <w:rFonts w:ascii="仿宋" w:eastAsia="仿宋"/>
          <w:b/>
          <w:color w:val="000000"/>
          <w:sz w:val="32"/>
          <w:szCs w:val="32"/>
        </w:rPr>
      </w:pPr>
      <w:r>
        <w:rPr>
          <w:rFonts w:ascii="仿宋" w:eastAsia="仿宋" w:hint="eastAsia"/>
          <w:color w:val="000000"/>
          <w:sz w:val="32"/>
          <w:szCs w:val="32"/>
        </w:rPr>
        <w:t>其中：公务用车购置支出0万元。全年按规定更新购置公务用车0辆。截至</w:t>
      </w:r>
      <w:r>
        <w:rPr>
          <w:rFonts w:ascii="仿宋" w:eastAsia="仿宋"/>
          <w:color w:val="000000"/>
          <w:sz w:val="32"/>
          <w:szCs w:val="32"/>
        </w:rPr>
        <w:t>20</w:t>
      </w:r>
      <w:r>
        <w:rPr>
          <w:rFonts w:ascii="仿宋" w:eastAsia="仿宋" w:hint="eastAsia"/>
          <w:color w:val="000000"/>
          <w:sz w:val="32"/>
          <w:szCs w:val="32"/>
        </w:rPr>
        <w:t>21年</w:t>
      </w:r>
      <w:r>
        <w:rPr>
          <w:rFonts w:ascii="仿宋" w:eastAsia="仿宋"/>
          <w:color w:val="000000"/>
          <w:sz w:val="32"/>
          <w:szCs w:val="32"/>
        </w:rPr>
        <w:t>12</w:t>
      </w:r>
      <w:r>
        <w:rPr>
          <w:rFonts w:ascii="仿宋" w:eastAsia="仿宋" w:hint="eastAsia"/>
          <w:color w:val="000000"/>
          <w:sz w:val="32"/>
          <w:szCs w:val="32"/>
        </w:rPr>
        <w:t>月底，单位共有公务用车2辆，其中：轿车0辆、越野车2辆。</w:t>
      </w:r>
    </w:p>
    <w:p>
      <w:pPr>
        <w:spacing w:line="600" w:lineRule="exact"/>
        <w:ind w:firstLine="640"/>
        <w:rPr>
          <w:rFonts w:ascii="仿宋" w:eastAsia="仿宋"/>
          <w:color w:val="000000"/>
          <w:sz w:val="32"/>
          <w:szCs w:val="32"/>
        </w:rPr>
      </w:pPr>
      <w:r>
        <w:rPr>
          <w:rFonts w:ascii="仿宋" w:eastAsia="仿宋" w:hint="eastAsia"/>
          <w:color w:val="000000"/>
          <w:sz w:val="32"/>
          <w:szCs w:val="32"/>
        </w:rPr>
        <w:t>公务用车运行维护费支出5.96万元。主要</w:t>
      </w:r>
      <w:r>
        <w:rPr>
          <w:rFonts w:ascii="仿宋" w:eastAsia="仿宋" w:hint="eastAsia"/>
          <w:sz w:val="32"/>
          <w:szCs w:val="32"/>
        </w:rPr>
        <w:t>用于组织开展民族团结进步创建活动、开展民族团结宣传教育、维护社会稳定、指导协调宗教事务，参与协调民区经济社会发展，调研民族乡（镇）等所需</w:t>
      </w:r>
      <w:r>
        <w:rPr>
          <w:rFonts w:ascii="仿宋" w:eastAsia="仿宋" w:hint="eastAsia"/>
          <w:color w:val="000000"/>
          <w:sz w:val="32"/>
          <w:szCs w:val="32"/>
        </w:rPr>
        <w:t>的公务用车燃料费、维修费、过路过桥费、保险费等支出。</w:t>
      </w:r>
    </w:p>
    <w:p>
      <w:pPr>
        <w:spacing w:line="600" w:lineRule="exact"/>
        <w:ind w:firstLine="640"/>
        <w:rPr>
          <w:rFonts w:ascii="仿宋" w:eastAsia="仿宋"/>
          <w:color w:val="000000"/>
          <w:sz w:val="32"/>
          <w:szCs w:val="32"/>
        </w:rPr>
      </w:pPr>
      <w:r>
        <w:rPr>
          <w:rFonts w:ascii="仿宋" w:eastAsia="仿宋"/>
          <w:color w:val="000000"/>
          <w:sz w:val="32"/>
          <w:szCs w:val="32"/>
        </w:rPr>
        <w:t>3.</w:t>
      </w:r>
      <w:r>
        <w:rPr>
          <w:rFonts w:ascii="仿宋" w:eastAsia="仿宋" w:hint="eastAsia"/>
          <w:color w:val="000000"/>
          <w:sz w:val="32"/>
          <w:szCs w:val="32"/>
        </w:rPr>
        <w:t>公务接待费支出1.14万元，</w:t>
      </w:r>
      <w:r>
        <w:rPr>
          <w:rStyle w:val="22"/>
          <w:rFonts w:ascii="仿宋" w:eastAsia="仿宋" w:hint="eastAsia"/>
          <w:b w:val="0"/>
          <w:bCs/>
          <w:color w:val="000000"/>
          <w:sz w:val="32"/>
          <w:szCs w:val="32"/>
        </w:rPr>
        <w:t>完成年初预算数70.37%，完成年初调整后预算数100</w:t>
      </w:r>
      <w:r>
        <w:rPr>
          <w:rStyle w:val="22"/>
          <w:rFonts w:ascii="仿宋" w:eastAsia="仿宋"/>
          <w:b w:val="0"/>
          <w:bCs/>
          <w:color w:val="000000"/>
          <w:sz w:val="32"/>
          <w:szCs w:val="32"/>
        </w:rPr>
        <w:t>%</w:t>
      </w:r>
      <w:r>
        <w:rPr>
          <w:rStyle w:val="22"/>
          <w:rFonts w:ascii="仿宋" w:eastAsia="仿宋" w:hint="eastAsia"/>
          <w:b w:val="0"/>
          <w:bCs/>
          <w:color w:val="000000"/>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20年增加0.56万元，增长96.55</w:t>
      </w:r>
      <w:r>
        <w:rPr>
          <w:rFonts w:ascii="仿宋_GB2312" w:eastAsia="仿宋_GB2312"/>
          <w:sz w:val="32"/>
          <w:szCs w:val="32"/>
        </w:rPr>
        <w:t>%</w:t>
      </w:r>
      <w:r>
        <w:rPr>
          <w:rFonts w:ascii="仿宋_GB2312" w:eastAsia="仿宋_GB2312" w:hint="eastAsia"/>
          <w:sz w:val="32"/>
          <w:szCs w:val="32"/>
        </w:rPr>
        <w:t>。主要原因是与省级部门对接沟通工作增多，省级有关部门来调研、对接工作较上年变多。</w:t>
      </w:r>
    </w:p>
    <w:p>
      <w:pPr>
        <w:spacing w:line="600" w:lineRule="exact"/>
        <w:ind w:firstLineChars="200" w:firstLine="640"/>
        <w:rPr>
          <w:rFonts w:ascii="仿宋" w:eastAsia="仿宋"/>
          <w:color w:val="000000"/>
          <w:sz w:val="32"/>
          <w:szCs w:val="32"/>
        </w:rPr>
      </w:pPr>
      <w:r>
        <w:rPr>
          <w:rFonts w:ascii="仿宋" w:eastAsia="仿宋" w:hint="eastAsia"/>
          <w:sz w:val="32"/>
          <w:szCs w:val="32"/>
        </w:rPr>
        <w:t>国内公务接待支出1.14万元，主要用于执行公务、开展业务活动开支的用餐费等。国内公务接待7批次，55人次（不包括陪同人员），共计支出1.14万元。具体开支内容包括：接待省城市民族工作调研组来攀调研指导工作10人次，支出0.18万元；接待德阳市民宗局来攀学习交流5人次，支出0.11万元；接待省民宗委来攀工作调研4人次，支出0.11万元；接待省委宗教工作领导小组到攀调研8人次，支出0.17万元；接待省委统战部调研组来攀调研4人次，支出0.1万元；接待省民宗委来攀调研少数民族特色村寨事宜20人次，支出0.38万元；接待省民宗委来攀工作调研4人次，支出0.09万元。</w:t>
      </w:r>
    </w:p>
    <w:p>
      <w:pPr>
        <w:spacing w:line="600" w:lineRule="exact"/>
        <w:ind w:firstLineChars="200" w:firstLine="640"/>
        <w:rPr>
          <w:rFonts w:ascii="仿宋" w:eastAsia="仿宋"/>
          <w:color w:val="000000"/>
          <w:sz w:val="32"/>
          <w:szCs w:val="32"/>
          <w14:textFill>
            <w14:solidFill>
              <w14:srgbClr w14:val="000000"/>
            </w14:solidFill>
          </w14:textFill>
        </w:rPr>
      </w:pPr>
      <w:r>
        <w:rPr>
          <w:rFonts w:ascii="仿宋" w:eastAsia="仿宋" w:hint="eastAsia"/>
          <w:color w:val="000000"/>
          <w:sz w:val="32"/>
          <w:szCs w:val="32"/>
        </w:rPr>
        <w:t>外事接待支出0万元</w:t>
      </w:r>
      <w:r>
        <w:rPr>
          <w:rFonts w:ascii="仿宋" w:eastAsia="仿宋" w:hint="eastAsia"/>
          <w:color w:val="000000"/>
          <w:sz w:val="32"/>
          <w:szCs w:val="32"/>
          <w14:textFill>
            <w14:solidFill>
              <w14:srgbClr w14:val="000000"/>
            </w14:solidFill>
          </w14:textFill>
        </w:rPr>
        <w:t>，外事接待0批次，0人。</w:t>
      </w:r>
    </w:p>
    <w:p>
      <w:pPr>
        <w:spacing w:line="600" w:lineRule="exact"/>
        <w:ind w:firstLine="640"/>
        <w:outlineLvl w:val="1"/>
        <w:rPr>
          <w:rStyle w:val="2Char"/>
          <w:rFonts w:ascii="黑体" w:eastAsia="黑体"/>
        </w:rPr>
      </w:pPr>
      <w:bookmarkStart w:id="65" w:name="_Toc15377218"/>
      <w:bookmarkStart w:id="66" w:name="_Toc13187"/>
      <w:r>
        <w:rPr>
          <w:rFonts w:ascii="黑体" w:eastAsia="黑体" w:hint="eastAsia"/>
          <w:color w:val="000000"/>
          <w:sz w:val="32"/>
          <w:szCs w:val="32"/>
        </w:rPr>
        <w:t>八、</w:t>
      </w:r>
      <w:r>
        <w:rPr>
          <w:rStyle w:val="2Char"/>
          <w:rFonts w:ascii="黑体" w:eastAsia="黑体" w:hint="eastAsia"/>
          <w:b w:val="0"/>
        </w:rPr>
        <w:t>政府性基金预算支出决算情况说明</w:t>
      </w:r>
      <w:bookmarkEnd w:id="65"/>
      <w:bookmarkEnd w:id="66"/>
    </w:p>
    <w:p>
      <w:pPr>
        <w:spacing w:line="600" w:lineRule="exact"/>
        <w:ind w:firstLine="640"/>
        <w:rPr>
          <w:rFonts w:ascii="仿宋" w:eastAsia="仿宋"/>
          <w:color w:val="000000"/>
          <w:sz w:val="32"/>
          <w:szCs w:val="32"/>
        </w:rPr>
      </w:pPr>
      <w:r>
        <w:rPr>
          <w:rFonts w:ascii="仿宋" w:eastAsia="仿宋"/>
          <w:color w:val="000000"/>
          <w:sz w:val="32"/>
          <w:szCs w:val="32"/>
        </w:rPr>
        <w:t>20</w:t>
      </w:r>
      <w:r>
        <w:rPr>
          <w:rFonts w:ascii="仿宋" w:eastAsia="仿宋" w:hint="eastAsia"/>
          <w:color w:val="000000"/>
          <w:sz w:val="32"/>
          <w:szCs w:val="32"/>
        </w:rPr>
        <w:t>21年政府性基金预算拨款支出5万元。</w:t>
      </w:r>
    </w:p>
    <w:p>
      <w:pPr>
        <w:numPr>
          <w:ilvl w:val="0"/>
          <w:numId w:val="1"/>
        </w:numPr>
        <w:spacing w:line="600" w:lineRule="exact"/>
        <w:ind w:left="0" w:firstLine="640"/>
        <w:outlineLvl w:val="1"/>
        <w:rPr>
          <w:rStyle w:val="2Char"/>
          <w:rFonts w:ascii="黑体" w:eastAsia="黑体"/>
          <w:b w:val="0"/>
        </w:rPr>
      </w:pPr>
      <w:bookmarkStart w:id="67" w:name="_Toc15377219"/>
      <w:bookmarkStart w:id="68" w:name="_Toc30762"/>
      <w:r>
        <w:rPr>
          <w:rStyle w:val="2Char"/>
          <w:rFonts w:ascii="黑体" w:eastAsia="黑体" w:hint="eastAsia"/>
          <w:b w:val="0"/>
        </w:rPr>
        <w:t>国有资本经营预算支出决算情况说明</w:t>
      </w:r>
      <w:bookmarkEnd w:id="67"/>
      <w:bookmarkEnd w:id="68"/>
    </w:p>
    <w:p>
      <w:pPr>
        <w:spacing w:line="600" w:lineRule="exact"/>
        <w:ind w:firstLine="640"/>
        <w:rPr>
          <w:rFonts w:ascii="仿宋" w:eastAsia="仿宋"/>
          <w:color w:val="000000"/>
          <w:sz w:val="32"/>
          <w:szCs w:val="32"/>
        </w:rPr>
      </w:pPr>
      <w:r>
        <w:rPr>
          <w:rFonts w:ascii="仿宋" w:eastAsia="仿宋"/>
          <w:color w:val="000000"/>
          <w:sz w:val="32"/>
          <w:szCs w:val="32"/>
        </w:rPr>
        <w:t>20</w:t>
      </w:r>
      <w:r>
        <w:rPr>
          <w:rFonts w:ascii="仿宋" w:eastAsia="仿宋" w:hint="eastAsia"/>
          <w:color w:val="000000"/>
          <w:sz w:val="32"/>
          <w:szCs w:val="32"/>
        </w:rPr>
        <w:t>21年国有资本经营预算拨款支出0万元。</w:t>
      </w:r>
      <w:bookmarkStart w:id="69" w:name="_Toc15377221"/>
    </w:p>
    <w:p>
      <w:pPr>
        <w:numPr>
          <w:ilvl w:val="0"/>
          <w:numId w:val="1"/>
        </w:numPr>
        <w:spacing w:line="600" w:lineRule="exact"/>
        <w:ind w:left="0" w:firstLine="640"/>
        <w:outlineLvl w:val="1"/>
        <w:rPr>
          <w:rStyle w:val="2Char"/>
          <w:rFonts w:ascii="黑体" w:eastAsia="黑体" w:hint="eastAsia"/>
          <w:b w:val="0"/>
        </w:rPr>
      </w:pPr>
      <w:bookmarkStart w:id="70" w:name="_Toc3249"/>
      <w:r>
        <w:rPr>
          <w:rStyle w:val="2Char"/>
          <w:rFonts w:ascii="黑体" w:eastAsia="黑体" w:hint="eastAsia"/>
          <w:b w:val="0"/>
        </w:rPr>
        <w:t>其他重要事项的情况说明</w:t>
      </w:r>
      <w:bookmarkEnd w:id="69"/>
      <w:bookmarkEnd w:id="70"/>
    </w:p>
    <w:p>
      <w:pPr>
        <w:spacing w:line="600" w:lineRule="exact"/>
        <w:ind w:firstLineChars="200" w:firstLine="640"/>
        <w:outlineLvl w:val="2"/>
        <w:rPr>
          <w:rFonts w:ascii="楷体" w:eastAsia="楷体"/>
          <w:color w:val="000000"/>
          <w:sz w:val="32"/>
          <w:szCs w:val="32"/>
        </w:rPr>
      </w:pPr>
      <w:bookmarkStart w:id="71" w:name="_Toc15377222"/>
      <w:r>
        <w:rPr>
          <w:rFonts w:ascii="楷体" w:eastAsia="楷体" w:hint="eastAsia"/>
          <w:b/>
          <w:color w:val="000000"/>
          <w:sz w:val="32"/>
          <w:szCs w:val="32"/>
        </w:rPr>
        <w:t>（一）机关运行经费支出情况</w:t>
      </w:r>
      <w:bookmarkEnd w:id="71"/>
      <w:r>
        <w:rPr>
          <w:rFonts w:ascii="楷体" w:eastAsia="楷体" w:hint="eastAsia"/>
          <w:b/>
          <w:color w:val="000000"/>
          <w:sz w:val="32"/>
          <w:szCs w:val="32"/>
        </w:rPr>
        <w:t>。</w:t>
      </w:r>
    </w:p>
    <w:p>
      <w:pPr>
        <w:spacing w:line="600" w:lineRule="exact"/>
        <w:ind w:firstLineChars="200" w:firstLine="640"/>
        <w:rPr>
          <w:rFonts w:ascii="仿宋" w:eastAsia="仿宋"/>
          <w:color w:val="000000"/>
          <w:sz w:val="32"/>
          <w:szCs w:val="32"/>
          <w14:textFill>
            <w14:solidFill>
              <w14:srgbClr w14:val="000000"/>
            </w14:solidFill>
          </w14:textFill>
        </w:rPr>
      </w:pPr>
      <w:r>
        <w:rPr>
          <w:rFonts w:ascii="仿宋" w:eastAsia="仿宋"/>
          <w:color w:val="000000"/>
          <w:sz w:val="32"/>
          <w:szCs w:val="32"/>
          <w14:textFill>
            <w14:solidFill>
              <w14:srgbClr w14:val="000000"/>
            </w14:solidFill>
          </w14:textFill>
        </w:rPr>
        <w:t>20</w:t>
      </w:r>
      <w:r>
        <w:rPr>
          <w:rFonts w:ascii="仿宋" w:eastAsia="仿宋" w:hint="eastAsia"/>
          <w:color w:val="000000"/>
          <w:sz w:val="32"/>
          <w:szCs w:val="32"/>
          <w14:textFill>
            <w14:solidFill>
              <w14:srgbClr w14:val="000000"/>
            </w14:solidFill>
          </w14:textFill>
        </w:rPr>
        <w:t>21年，攀枝花市民族宗教事务委员会机关运行经费支出79.99万元，比</w:t>
      </w:r>
      <w:r>
        <w:rPr>
          <w:rFonts w:ascii="仿宋" w:eastAsia="仿宋"/>
          <w:color w:val="000000"/>
          <w:sz w:val="32"/>
          <w:szCs w:val="32"/>
          <w14:textFill>
            <w14:solidFill>
              <w14:srgbClr w14:val="000000"/>
            </w14:solidFill>
          </w14:textFill>
        </w:rPr>
        <w:t>20</w:t>
      </w:r>
      <w:r>
        <w:rPr>
          <w:rFonts w:ascii="仿宋" w:eastAsia="仿宋" w:hint="eastAsia"/>
          <w:color w:val="000000"/>
          <w:sz w:val="32"/>
          <w:szCs w:val="32"/>
          <w14:textFill>
            <w14:solidFill>
              <w14:srgbClr w14:val="000000"/>
            </w14:solidFill>
          </w14:textFill>
        </w:rPr>
        <w:t>20年减少13.32万元，减少14.27</w:t>
      </w:r>
      <w:r>
        <w:rPr>
          <w:rFonts w:ascii="仿宋" w:eastAsia="仿宋"/>
          <w:color w:val="000000"/>
          <w:sz w:val="32"/>
          <w:szCs w:val="32"/>
          <w14:textFill>
            <w14:solidFill>
              <w14:srgbClr w14:val="000000"/>
            </w14:solidFill>
          </w14:textFill>
        </w:rPr>
        <w:t>%</w:t>
      </w:r>
      <w:r>
        <w:rPr>
          <w:rFonts w:ascii="仿宋" w:eastAsia="仿宋" w:hint="eastAsia"/>
          <w:color w:val="000000"/>
          <w:sz w:val="32"/>
          <w:szCs w:val="32"/>
          <w14:textFill>
            <w14:solidFill>
              <w14:srgbClr w14:val="000000"/>
            </w14:solidFill>
          </w14:textFill>
        </w:rPr>
        <w:t>。主要原因是人员减少导致机关运行经费支出减少。</w:t>
      </w:r>
    </w:p>
    <w:p>
      <w:pPr>
        <w:autoSpaceDE w:val="0"/>
        <w:autoSpaceDN w:val="0"/>
        <w:adjustRightInd w:val="0"/>
        <w:spacing w:line="600" w:lineRule="exact"/>
        <w:ind w:firstLineChars="200" w:firstLine="640"/>
        <w:jc w:val="left"/>
        <w:outlineLvl w:val="2"/>
        <w:rPr>
          <w:rFonts w:ascii="楷体" w:eastAsia="楷体"/>
          <w:b/>
          <w:color w:val="000000"/>
          <w:sz w:val="32"/>
          <w:szCs w:val="32"/>
        </w:rPr>
      </w:pPr>
      <w:bookmarkStart w:id="72" w:name="_Toc15377223"/>
      <w:r>
        <w:rPr>
          <w:rFonts w:ascii="楷体" w:eastAsia="楷体" w:hint="eastAsia"/>
          <w:b/>
          <w:color w:val="000000"/>
          <w:sz w:val="32"/>
          <w:szCs w:val="32"/>
        </w:rPr>
        <w:t>（二）政府采购支出情况</w:t>
      </w:r>
      <w:bookmarkEnd w:id="72"/>
      <w:r>
        <w:rPr>
          <w:rFonts w:ascii="楷体" w:eastAsia="楷体" w:hint="eastAsia"/>
          <w:b/>
          <w:color w:val="000000"/>
          <w:sz w:val="32"/>
          <w:szCs w:val="32"/>
        </w:rPr>
        <w:t>。</w:t>
      </w:r>
    </w:p>
    <w:p>
      <w:pPr>
        <w:spacing w:line="600" w:lineRule="exact"/>
        <w:ind w:firstLineChars="200" w:firstLine="640"/>
        <w:rPr>
          <w:rFonts w:ascii="仿宋" w:eastAsia="仿宋"/>
          <w:color w:val="000000"/>
          <w:sz w:val="32"/>
          <w:szCs w:val="32"/>
        </w:rPr>
      </w:pPr>
      <w:r>
        <w:rPr>
          <w:rFonts w:ascii="仿宋" w:eastAsia="仿宋"/>
          <w:color w:val="000000"/>
          <w:sz w:val="32"/>
          <w:szCs w:val="32"/>
        </w:rPr>
        <w:t>20</w:t>
      </w:r>
      <w:r>
        <w:rPr>
          <w:rFonts w:ascii="仿宋" w:eastAsia="仿宋" w:hint="eastAsia"/>
          <w:color w:val="000000"/>
          <w:sz w:val="32"/>
          <w:szCs w:val="32"/>
        </w:rPr>
        <w:t>21年，攀枝花市民族宗教事务委员会政府采购支出总额1.996万元，其中：政府采购货物支出1.996万元、政府采购工程支出0万元、政府采购服务支出0万元。主要用于</w:t>
      </w:r>
      <w:r>
        <w:rPr>
          <w:rFonts w:ascii="仿宋" w:eastAsia="仿宋" w:hint="eastAsia"/>
          <w:sz w:val="32"/>
          <w:szCs w:val="32"/>
        </w:rPr>
        <w:t>办公设备的购置</w:t>
      </w:r>
      <w:r>
        <w:rPr>
          <w:rFonts w:ascii="仿宋" w:eastAsia="仿宋" w:hint="eastAsia"/>
          <w:color w:val="000000"/>
          <w:sz w:val="32"/>
          <w:szCs w:val="32"/>
        </w:rPr>
        <w:t>。授予中小企业合同金额1.996万元，占政府采购支出总额的100</w:t>
      </w:r>
      <w:r>
        <w:rPr>
          <w:rFonts w:ascii="仿宋" w:eastAsia="仿宋"/>
          <w:color w:val="000000"/>
          <w:sz w:val="32"/>
          <w:szCs w:val="32"/>
        </w:rPr>
        <w:t>%</w:t>
      </w:r>
      <w:r>
        <w:rPr>
          <w:rFonts w:ascii="仿宋" w:eastAsia="仿宋" w:hint="eastAsia"/>
          <w:color w:val="000000"/>
          <w:sz w:val="32"/>
          <w:szCs w:val="32"/>
        </w:rPr>
        <w:t>，其中：授予小微企业合同金额0万元。</w:t>
      </w:r>
    </w:p>
    <w:p>
      <w:pPr>
        <w:autoSpaceDE w:val="0"/>
        <w:autoSpaceDN w:val="0"/>
        <w:adjustRightInd w:val="0"/>
        <w:spacing w:line="600" w:lineRule="exact"/>
        <w:ind w:firstLineChars="200" w:firstLine="640"/>
        <w:jc w:val="left"/>
        <w:outlineLvl w:val="2"/>
        <w:rPr>
          <w:rFonts w:ascii="楷体" w:eastAsia="楷体"/>
          <w:b/>
          <w:color w:val="000000"/>
          <w:sz w:val="32"/>
          <w:szCs w:val="32"/>
        </w:rPr>
      </w:pPr>
      <w:bookmarkStart w:id="73" w:name="_Toc15377224"/>
      <w:r>
        <w:rPr>
          <w:rFonts w:ascii="楷体" w:eastAsia="楷体" w:hint="eastAsia"/>
          <w:b/>
          <w:color w:val="000000"/>
          <w:sz w:val="32"/>
          <w:szCs w:val="32"/>
        </w:rPr>
        <w:t>（三）国有资产占有使用情况</w:t>
      </w:r>
      <w:bookmarkEnd w:id="73"/>
      <w:r>
        <w:rPr>
          <w:rFonts w:ascii="楷体" w:eastAsia="楷体" w:hint="eastAsia"/>
          <w:b/>
          <w:color w:val="000000"/>
          <w:sz w:val="32"/>
          <w:szCs w:val="32"/>
        </w:rPr>
        <w:t>。</w:t>
      </w:r>
    </w:p>
    <w:p>
      <w:pPr>
        <w:autoSpaceDE w:val="0"/>
        <w:autoSpaceDN w:val="0"/>
        <w:adjustRightInd w:val="0"/>
        <w:spacing w:line="600" w:lineRule="exact"/>
        <w:ind w:firstLineChars="200" w:firstLine="640"/>
        <w:jc w:val="left"/>
        <w:rPr>
          <w:rFonts w:ascii="仿宋" w:eastAsia="仿宋"/>
          <w:color w:val="000000"/>
          <w:sz w:val="32"/>
          <w:szCs w:val="32"/>
        </w:rPr>
      </w:pPr>
      <w:r>
        <w:rPr>
          <w:rFonts w:ascii="仿宋" w:eastAsia="仿宋" w:hint="eastAsia"/>
          <w:color w:val="000000"/>
          <w:sz w:val="32"/>
          <w:szCs w:val="32"/>
        </w:rPr>
        <w:t>截至</w:t>
      </w:r>
      <w:r>
        <w:rPr>
          <w:rFonts w:ascii="仿宋" w:eastAsia="仿宋"/>
          <w:color w:val="000000"/>
          <w:sz w:val="32"/>
          <w:szCs w:val="32"/>
        </w:rPr>
        <w:t>20</w:t>
      </w:r>
      <w:r>
        <w:rPr>
          <w:rFonts w:ascii="仿宋" w:eastAsia="仿宋" w:hint="eastAsia"/>
          <w:color w:val="000000"/>
          <w:sz w:val="32"/>
          <w:szCs w:val="32"/>
        </w:rPr>
        <w:t>21年</w:t>
      </w:r>
      <w:r>
        <w:rPr>
          <w:rFonts w:ascii="仿宋" w:eastAsia="仿宋"/>
          <w:color w:val="000000"/>
          <w:sz w:val="32"/>
          <w:szCs w:val="32"/>
        </w:rPr>
        <w:t>12</w:t>
      </w:r>
      <w:r>
        <w:rPr>
          <w:rFonts w:ascii="仿宋" w:eastAsia="仿宋" w:hint="eastAsia"/>
          <w:color w:val="000000"/>
          <w:sz w:val="32"/>
          <w:szCs w:val="32"/>
        </w:rPr>
        <w:t>月</w:t>
      </w:r>
      <w:r>
        <w:rPr>
          <w:rFonts w:ascii="仿宋" w:eastAsia="仿宋"/>
          <w:color w:val="000000"/>
          <w:sz w:val="32"/>
          <w:szCs w:val="32"/>
        </w:rPr>
        <w:t>31</w:t>
      </w:r>
      <w:r>
        <w:rPr>
          <w:rFonts w:ascii="仿宋" w:eastAsia="仿宋" w:hint="eastAsia"/>
          <w:color w:val="000000"/>
          <w:sz w:val="32"/>
          <w:szCs w:val="32"/>
        </w:rPr>
        <w:t>日，攀枝花市民族宗教事务委员会共有车辆2辆，其中：部级领导干部用车0辆、一般公务用车2辆、一般执法执勤用车0辆、特种专业技术用车0辆、其他用车0辆。</w:t>
      </w:r>
      <w:r>
        <w:rPr>
          <w:rFonts w:ascii="仿宋" w:eastAsia="仿宋" w:hint="eastAsia"/>
          <w:color w:val="000000"/>
          <w:sz w:val="32"/>
          <w:szCs w:val="32"/>
          <w14:textFill>
            <w14:solidFill>
              <w14:srgbClr w14:val="000000"/>
            </w14:solidFill>
          </w14:textFill>
        </w:rPr>
        <w:t>单价</w:t>
      </w:r>
      <w:r>
        <w:rPr>
          <w:rFonts w:ascii="仿宋" w:eastAsia="仿宋"/>
          <w:color w:val="000000"/>
          <w:sz w:val="32"/>
          <w:szCs w:val="32"/>
          <w14:textFill>
            <w14:solidFill>
              <w14:srgbClr w14:val="000000"/>
            </w14:solidFill>
          </w14:textFill>
        </w:rPr>
        <w:t>50</w:t>
      </w:r>
      <w:r>
        <w:rPr>
          <w:rFonts w:ascii="仿宋" w:eastAsia="仿宋" w:hint="eastAsia"/>
          <w:color w:val="000000"/>
          <w:sz w:val="32"/>
          <w:szCs w:val="32"/>
          <w14:textFill>
            <w14:solidFill>
              <w14:srgbClr w14:val="000000"/>
            </w14:solidFill>
          </w14:textFill>
        </w:rPr>
        <w:t>万元以上通用设备0台（套），单价</w:t>
      </w:r>
      <w:r>
        <w:rPr>
          <w:rFonts w:ascii="仿宋" w:eastAsia="仿宋"/>
          <w:color w:val="000000"/>
          <w:sz w:val="32"/>
          <w:szCs w:val="32"/>
          <w14:textFill>
            <w14:solidFill>
              <w14:srgbClr w14:val="000000"/>
            </w14:solidFill>
          </w14:textFill>
        </w:rPr>
        <w:t>100</w:t>
      </w:r>
      <w:r>
        <w:rPr>
          <w:rFonts w:ascii="仿宋" w:eastAsia="仿宋" w:hint="eastAsia"/>
          <w:color w:val="000000"/>
          <w:sz w:val="32"/>
          <w:szCs w:val="32"/>
        </w:rPr>
        <w:t>万元以上专用设备0台（套）。</w:t>
      </w:r>
    </w:p>
    <w:p>
      <w:pPr>
        <w:autoSpaceDE w:val="0"/>
        <w:autoSpaceDN w:val="0"/>
        <w:adjustRightInd w:val="0"/>
        <w:spacing w:line="600" w:lineRule="exact"/>
        <w:ind w:firstLineChars="200" w:firstLine="640"/>
        <w:jc w:val="left"/>
        <w:outlineLvl w:val="2"/>
        <w:rPr>
          <w:rStyle w:val="2Char"/>
          <w:rFonts w:ascii="楷体" w:eastAsia="楷体" w:cs="Times New Roman"/>
          <w:bCs w:val="0"/>
          <w:color w:val="000000"/>
        </w:rPr>
      </w:pPr>
      <w:r>
        <w:rPr>
          <w:rFonts w:ascii="楷体" w:eastAsia="楷体" w:hint="eastAsia"/>
          <w:color w:val="000000"/>
          <w:sz w:val="32"/>
          <w:szCs w:val="32"/>
        </w:rPr>
        <w:t>（四）</w:t>
      </w:r>
      <w:r>
        <w:rPr>
          <w:rStyle w:val="2Char"/>
          <w:rFonts w:ascii="楷体" w:eastAsia="楷体" w:hint="eastAsia"/>
        </w:rPr>
        <w:t>预算绩效管理情况。</w:t>
      </w:r>
    </w:p>
    <w:p>
      <w:pPr>
        <w:spacing w:line="580" w:lineRule="exact"/>
        <w:ind w:firstLineChars="200" w:firstLine="640"/>
        <w:rPr>
          <w:rFonts w:ascii="仿宋_GB2312" w:eastAsia="仿宋_GB2312" w:cs="仿宋_GB2312"/>
          <w:sz w:val="32"/>
          <w:szCs w:val="32"/>
        </w:rPr>
      </w:pPr>
      <w:r>
        <w:rPr>
          <w:rFonts w:ascii="仿宋" w:eastAsia="仿宋" w:cs="仿宋_GB2312" w:hint="eastAsia"/>
          <w:sz w:val="32"/>
          <w:szCs w:val="32"/>
        </w:rPr>
        <w:t>根据预算绩效管理要求，本单位在2021年度预算编制阶段，组织对全市性宗教团体工作经费等6个项目开展了预算事前绩效评估，对6个项目编制了绩效目标，预算执行过程中，年中对6个项目开展绩效监控，年终执行完毕后，对8个项目开展了绩效自评。</w:t>
      </w:r>
      <w:r>
        <w:rPr>
          <w:rFonts w:ascii="仿宋_GB2312" w:eastAsia="仿宋_GB2312" w:cs="仿宋_GB2312" w:hint="eastAsia"/>
          <w:sz w:val="32"/>
          <w:szCs w:val="32"/>
        </w:rPr>
        <w:t>同时，本部门对2021年部门整体开展绩效自评，《2021年攀枝花市民族宗教事务委员会整体绩效评价报告》见附件（第四部分）。</w:t>
      </w:r>
    </w:p>
    <w:p>
      <w:pPr>
        <w:pStyle w:val="15"/>
        <w:spacing w:beforeLines="0" w:before="93"/>
        <w:rPr>
          <w:rFonts w:cs="仿宋_GB2312"/>
          <w:sz w:val="32"/>
          <w:szCs w:val="32"/>
        </w:rPr>
      </w:pPr>
    </w:p>
    <w:p>
      <w:pPr>
        <w:pStyle w:val="15"/>
        <w:spacing w:beforeLines="0" w:before="93"/>
        <w:rPr>
          <w:rFonts w:cs="仿宋_GB2312"/>
          <w:sz w:val="32"/>
          <w:szCs w:val="32"/>
        </w:rPr>
      </w:pPr>
    </w:p>
    <w:p>
      <w:pPr>
        <w:pStyle w:val="15"/>
        <w:spacing w:beforeLines="0" w:before="93"/>
        <w:rPr>
          <w:rFonts w:cs="仿宋_GB2312"/>
          <w:sz w:val="32"/>
          <w:szCs w:val="32"/>
        </w:rPr>
      </w:pPr>
    </w:p>
    <w:p>
      <w:pPr>
        <w:pStyle w:val="15"/>
        <w:spacing w:beforeLines="0" w:before="93"/>
        <w:rPr>
          <w:rFonts w:cs="仿宋_GB2312"/>
          <w:sz w:val="32"/>
          <w:szCs w:val="32"/>
        </w:rPr>
      </w:pPr>
    </w:p>
    <w:p>
      <w:pPr>
        <w:pStyle w:val="15"/>
        <w:spacing w:beforeLines="0" w:before="93"/>
        <w:rPr>
          <w:rFonts w:cs="仿宋_GB2312"/>
          <w:sz w:val="32"/>
          <w:szCs w:val="32"/>
        </w:rPr>
      </w:pPr>
    </w:p>
    <w:p>
      <w:pPr>
        <w:pStyle w:val="15"/>
        <w:spacing w:beforeLines="0" w:before="93"/>
        <w:rPr>
          <w:rFonts w:cs="仿宋_GB2312"/>
          <w:sz w:val="32"/>
          <w:szCs w:val="32"/>
        </w:rPr>
      </w:pPr>
    </w:p>
    <w:p>
      <w:pPr>
        <w:pStyle w:val="15"/>
        <w:spacing w:beforeLines="0" w:before="93"/>
        <w:rPr>
          <w:rFonts w:cs="仿宋_GB2312"/>
          <w:sz w:val="32"/>
          <w:szCs w:val="32"/>
        </w:rPr>
      </w:pPr>
    </w:p>
    <w:p>
      <w:pPr>
        <w:pStyle w:val="15"/>
        <w:spacing w:beforeLines="0" w:before="93"/>
        <w:rPr>
          <w:rFonts w:cs="仿宋_GB2312"/>
          <w:sz w:val="32"/>
          <w:szCs w:val="32"/>
        </w:rPr>
      </w:pPr>
    </w:p>
    <w:p>
      <w:pPr>
        <w:pStyle w:val="15"/>
        <w:spacing w:beforeLines="0" w:before="93"/>
        <w:rPr>
          <w:rFonts w:cs="仿宋_GB2312"/>
          <w:sz w:val="32"/>
          <w:szCs w:val="32"/>
        </w:rPr>
      </w:pPr>
    </w:p>
    <w:p>
      <w:pPr>
        <w:pStyle w:val="15"/>
        <w:spacing w:beforeLines="0" w:before="93"/>
        <w:rPr>
          <w:rFonts w:cs="仿宋_GB2312"/>
          <w:sz w:val="32"/>
          <w:szCs w:val="32"/>
        </w:rPr>
      </w:pPr>
    </w:p>
    <w:p>
      <w:pPr>
        <w:pStyle w:val="15"/>
        <w:spacing w:beforeLines="0" w:before="93"/>
        <w:rPr>
          <w:rFonts w:cs="仿宋_GB2312"/>
          <w:sz w:val="32"/>
          <w:szCs w:val="32"/>
        </w:rPr>
      </w:pPr>
    </w:p>
    <w:p>
      <w:pPr>
        <w:pStyle w:val="15"/>
        <w:spacing w:beforeLines="0" w:before="93"/>
        <w:rPr>
          <w:rFonts w:cs="仿宋_GB2312"/>
          <w:sz w:val="32"/>
          <w:szCs w:val="32"/>
        </w:rPr>
      </w:pPr>
    </w:p>
    <w:p>
      <w:pPr>
        <w:pStyle w:val="15"/>
        <w:spacing w:beforeLines="0" w:before="93"/>
        <w:rPr>
          <w:rFonts w:cs="仿宋_GB2312"/>
          <w:sz w:val="32"/>
          <w:szCs w:val="32"/>
        </w:rPr>
      </w:pPr>
    </w:p>
    <w:p>
      <w:pPr>
        <w:pStyle w:val="15"/>
        <w:spacing w:beforeLines="0" w:before="93"/>
        <w:rPr>
          <w:rFonts w:cs="仿宋_GB2312"/>
          <w:sz w:val="32"/>
          <w:szCs w:val="32"/>
        </w:rPr>
      </w:pPr>
    </w:p>
    <w:p>
      <w:pPr>
        <w:widowControl/>
        <w:jc w:val="center"/>
        <w:rPr>
          <w:rStyle w:val="1Char"/>
          <w:rFonts w:ascii="黑体" w:eastAsia="黑体"/>
          <w:b w:val="0"/>
        </w:rPr>
      </w:pPr>
      <w:bookmarkStart w:id="74" w:name="_Toc22747"/>
      <w:r>
        <w:rPr>
          <w:rStyle w:val="1Char"/>
          <w:rFonts w:ascii="黑体" w:eastAsia="黑体" w:hint="eastAsia"/>
          <w:b w:val="0"/>
        </w:rPr>
        <w:t>第三部分  名词解释</w:t>
      </w:r>
    </w:p>
    <w:p>
      <w:pPr>
        <w:pStyle w:val="28"/>
        <w:spacing w:line="560" w:lineRule="exact"/>
        <w:ind w:firstLineChars="200" w:firstLine="640"/>
        <w:rPr>
          <w:rFonts w:ascii="仿宋_GB2312" w:eastAsia="仿宋_GB2312"/>
          <w:sz w:val="32"/>
          <w:szCs w:val="32"/>
        </w:rPr>
      </w:pPr>
      <w:bookmarkEnd w:id="74"/>
    </w:p>
    <w:p>
      <w:pPr>
        <w:pStyle w:val="28"/>
        <w:spacing w:line="353"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1.财政拨款收入：指单位从同级财政部门取得的财政预算资金。</w:t>
      </w:r>
    </w:p>
    <w:p>
      <w:pPr>
        <w:pStyle w:val="28"/>
        <w:spacing w:line="353"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2.事业收入：指事业单位开展专业业务活动及辅助活动取得的收入。</w:t>
      </w:r>
    </w:p>
    <w:p>
      <w:pPr>
        <w:pStyle w:val="28"/>
        <w:spacing w:line="353"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 xml:space="preserve">3.其他收入：指单位取得的除上述收入以外的各项收入。主要是利息收入。 </w:t>
      </w:r>
    </w:p>
    <w:p>
      <w:pPr>
        <w:pStyle w:val="28"/>
        <w:spacing w:line="353"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 xml:space="preserve">4.年初结转和结余：指以前年度尚未完成、结转到本年按有关规定继续使用的资金。 </w:t>
      </w:r>
    </w:p>
    <w:p>
      <w:pPr>
        <w:pStyle w:val="28"/>
        <w:spacing w:line="353"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5.年末结转和结余：指单位按有关规定结转到下年或以后年度继续使用的资金。</w:t>
      </w:r>
    </w:p>
    <w:p>
      <w:pPr>
        <w:spacing w:line="353"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6.一般公共服务（类）民族事务（款）行政运行（项）：指行政单位的基本支出。</w:t>
      </w:r>
    </w:p>
    <w:p>
      <w:pPr>
        <w:spacing w:line="353"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7.一般公共服务（类）民族事务（款）事业运行（项）：指事业单位的基本支出，不包括行政单位服务中心、医务室等附属事业单位。</w:t>
      </w:r>
    </w:p>
    <w:p>
      <w:pPr>
        <w:spacing w:line="353"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8.一般公共服务（类）民族事务（款）其他民族事务支出（项）：指其他用于民族事务方面的支出。</w:t>
      </w:r>
    </w:p>
    <w:p>
      <w:pPr>
        <w:spacing w:line="353"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9.一般公共服务（类）宗教事务（款）其他宗教事务支出（项）：指其他用于宗教事务方面的支出。</w:t>
      </w:r>
    </w:p>
    <w:p>
      <w:pPr>
        <w:spacing w:line="353"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10.一般公共服务（类）组织事务（款）其他组织事务支出（项）:指其他用于中国共产党组织部门的事务支出。</w:t>
      </w:r>
    </w:p>
    <w:p>
      <w:pPr>
        <w:spacing w:line="353"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11.社会保障和就业（类）行政事业单位养老支出（款）行政单位离退休（项）：指行政单位(包括实行公务员管理的事业单位)开支的离退休经费。</w:t>
      </w:r>
    </w:p>
    <w:p>
      <w:pPr>
        <w:spacing w:line="353"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12.社会保障和就业（类）行政事业单位养老支出（款）事业单位离退休（项）：指事业单位开支的离退休经费。</w:t>
      </w:r>
    </w:p>
    <w:p>
      <w:pPr>
        <w:spacing w:line="353"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 xml:space="preserve">13.社会保障和就业（类）行政事业单位养老支出（款）机关事业单位基本养老保险缴费支出（项）:指机关事业单位实施养老保险制度由单位缴纳的基本养老保险费支出。    </w:t>
      </w:r>
    </w:p>
    <w:p>
      <w:pPr>
        <w:spacing w:line="353"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14．社会保障和就业（类）社会福利（款）儿童福利（项）：指对儿童提供福利服务方面的支出。</w:t>
      </w:r>
    </w:p>
    <w:p>
      <w:pPr>
        <w:spacing w:line="353"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15．城乡社区支出（类）国有土地使用权出让收入安排的支出（款）土地开发支出（项）：指地方政府用于前期土地开发性支出以及与前期土地开发相关的费用等支出。</w:t>
      </w:r>
    </w:p>
    <w:p>
      <w:pPr>
        <w:pStyle w:val="15"/>
        <w:spacing w:beforeLines="0" w:before="93" w:line="353" w:lineRule="auto"/>
        <w:rPr>
          <w:rFonts w:cs="仿宋_GB2312"/>
          <w:sz w:val="32"/>
          <w:szCs w:val="32"/>
        </w:rPr>
      </w:pPr>
      <w:r>
        <w:rPr>
          <w:rFonts w:cs="仿宋_GB2312" w:hint="eastAsia"/>
          <w:sz w:val="32"/>
          <w:szCs w:val="32"/>
        </w:rPr>
        <w:t xml:space="preserve">    16．农林水支出（类）其他农林水支出（款）其他农林水支出（项）：指除化解债务支出以外其他用于农林水方面的支出。</w:t>
      </w:r>
    </w:p>
    <w:p>
      <w:pPr>
        <w:spacing w:line="353"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17.住房保障支出（类）住房改革支出（款）住房公积金（项）：指行政事业单位按人力资源和社会保障部、财政部规定的基本工资和津贴补贴以及规定比例为职工缴纳的住房公积金。</w:t>
      </w:r>
    </w:p>
    <w:p>
      <w:pPr>
        <w:spacing w:line="353" w:lineRule="auto"/>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18.基本支出：指为保障机构正常运转、完成日常工作任务而发生的人员支出和公用支出。</w:t>
      </w:r>
    </w:p>
    <w:p>
      <w:pPr>
        <w:spacing w:line="353" w:lineRule="auto"/>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19.项目支出：指在基本支出之外为完成特定行政任务和事业发展目标所发生的支出。 </w:t>
      </w:r>
    </w:p>
    <w:p>
      <w:pPr>
        <w:spacing w:line="353" w:lineRule="auto"/>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20.政府性基金：指专项用于特定公共事业发展的支出。</w:t>
      </w:r>
    </w:p>
    <w:p>
      <w:pPr>
        <w:pStyle w:val="28"/>
        <w:spacing w:line="353"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21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353" w:lineRule="auto"/>
        <w:ind w:firstLineChars="200" w:firstLine="640"/>
        <w:rPr>
          <w:rFonts w:ascii="仿宋_GB2312" w:eastAsia="仿宋_GB2312"/>
          <w:color w:val="auto"/>
          <w:sz w:val="32"/>
          <w:szCs w:val="32"/>
        </w:rPr>
      </w:pPr>
      <w:r>
        <w:rPr>
          <w:rFonts w:ascii="仿宋_GB2312" w:eastAsia="仿宋_GB2312" w:cs="仿宋_GB2312" w:hint="eastAsia"/>
          <w:sz w:val="32"/>
          <w:szCs w:val="32"/>
        </w:rPr>
        <w:t>22.机关运行经费：</w:t>
      </w:r>
      <w:r>
        <w:rPr>
          <w:rFonts w:ascii="仿宋_GB2312" w:eastAsia="仿宋_GB2312" w:cs="仿宋_GB2312" w:hint="eastAsia"/>
          <w:color w:val="auto"/>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eastAsia="黑体" w:hint="eastAsia"/>
          <w:color w:val="000000"/>
          <w:sz w:val="44"/>
          <w:szCs w:val="44"/>
        </w:rPr>
      </w:pPr>
    </w:p>
    <w:p>
      <w:pPr>
        <w:spacing w:line="600" w:lineRule="exact"/>
        <w:jc w:val="center"/>
        <w:outlineLvl w:val="0"/>
        <w:rPr>
          <w:rFonts w:ascii="黑体" w:eastAsia="黑体" w:hint="eastAsia"/>
          <w:color w:val="000000"/>
          <w:sz w:val="44"/>
          <w:szCs w:val="44"/>
        </w:rPr>
      </w:pPr>
    </w:p>
    <w:p>
      <w:pPr>
        <w:spacing w:line="600" w:lineRule="exact"/>
        <w:jc w:val="center"/>
        <w:outlineLvl w:val="0"/>
        <w:rPr>
          <w:rFonts w:ascii="黑体" w:eastAsia="黑体" w:hint="eastAsia"/>
          <w:color w:val="000000"/>
          <w:sz w:val="44"/>
          <w:szCs w:val="44"/>
        </w:rPr>
      </w:pPr>
    </w:p>
    <w:p>
      <w:pPr>
        <w:spacing w:line="600" w:lineRule="exact"/>
        <w:jc w:val="center"/>
        <w:outlineLvl w:val="0"/>
        <w:rPr>
          <w:rFonts w:ascii="黑体" w:eastAsia="黑体" w:hint="eastAsia"/>
          <w:color w:val="000000"/>
          <w:sz w:val="44"/>
          <w:szCs w:val="44"/>
        </w:rPr>
      </w:pPr>
    </w:p>
    <w:p>
      <w:pPr>
        <w:spacing w:line="600" w:lineRule="exact"/>
        <w:jc w:val="center"/>
        <w:outlineLvl w:val="0"/>
        <w:rPr>
          <w:rStyle w:val="1Char"/>
          <w:rFonts w:ascii="黑体" w:eastAsia="黑体"/>
          <w:b w:val="0"/>
        </w:rPr>
      </w:pPr>
      <w:bookmarkStart w:id="75" w:name="_Toc907"/>
      <w:r>
        <w:rPr>
          <w:rFonts w:ascii="黑体" w:eastAsia="黑体" w:hint="eastAsia"/>
          <w:color w:val="000000"/>
          <w:sz w:val="44"/>
          <w:szCs w:val="44"/>
        </w:rPr>
        <w:t>第</w:t>
      </w:r>
      <w:r>
        <w:rPr>
          <w:rStyle w:val="1Char"/>
          <w:rFonts w:ascii="黑体" w:eastAsia="黑体" w:hint="eastAsia"/>
          <w:b w:val="0"/>
        </w:rPr>
        <w:t>四部分 附件</w:t>
      </w:r>
      <w:bookmarkEnd w:id="75"/>
    </w:p>
    <w:p>
      <w:pPr>
        <w:spacing w:line="600" w:lineRule="exact"/>
        <w:jc w:val="center"/>
        <w:outlineLvl w:val="0"/>
        <w:rPr>
          <w:rStyle w:val="1Char"/>
        </w:rPr>
      </w:pPr>
    </w:p>
    <w:p>
      <w:pPr>
        <w:pStyle w:val="2"/>
      </w:pPr>
      <w:bookmarkStart w:id="76" w:name="_Toc4254"/>
      <w:r>
        <w:rPr>
          <w:rFonts w:hint="eastAsia"/>
        </w:rPr>
        <w:t>附件1</w:t>
      </w:r>
      <w:bookmarkEnd w:id="76"/>
    </w:p>
    <w:p>
      <w:pPr>
        <w:jc w:val="center"/>
        <w:rPr>
          <w:rFonts w:ascii="黑体" w:eastAsia="黑体" w:cs="黑体" w:hint="eastAsia"/>
          <w:sz w:val="36"/>
          <w:szCs w:val="36"/>
        </w:rPr>
      </w:pPr>
      <w:bookmarkStart w:id="77" w:name="_Toc77628811"/>
      <w:bookmarkStart w:id="78" w:name="_Toc6518"/>
      <w:bookmarkStart w:id="79" w:name="_Toc2145"/>
      <w:bookmarkStart w:id="80" w:name="_Toc17239"/>
      <w:bookmarkStart w:id="81" w:name="_Toc15396616"/>
      <w:r>
        <w:rPr>
          <w:rFonts w:ascii="黑体" w:eastAsia="黑体" w:cs="黑体" w:hint="eastAsia"/>
          <w:sz w:val="36"/>
          <w:szCs w:val="36"/>
        </w:rPr>
        <w:t>攀枝花市民族宗教事务委员会</w:t>
      </w:r>
      <w:bookmarkEnd w:id="77"/>
      <w:bookmarkEnd w:id="78"/>
      <w:bookmarkEnd w:id="79"/>
      <w:bookmarkEnd w:id="80"/>
    </w:p>
    <w:p>
      <w:pPr>
        <w:jc w:val="center"/>
        <w:rPr>
          <w:rFonts w:ascii="黑体" w:eastAsia="黑体" w:cs="黑体" w:hint="eastAsia"/>
          <w:sz w:val="36"/>
          <w:szCs w:val="36"/>
        </w:rPr>
      </w:pPr>
      <w:bookmarkStart w:id="82" w:name="_Toc459"/>
      <w:bookmarkStart w:id="83" w:name="_Toc8802"/>
      <w:bookmarkStart w:id="84" w:name="_Toc4145"/>
      <w:bookmarkStart w:id="85" w:name="_Toc77628812"/>
      <w:r>
        <w:rPr>
          <w:rFonts w:ascii="黑体" w:eastAsia="黑体" w:cs="黑体" w:hint="eastAsia"/>
          <w:sz w:val="36"/>
          <w:szCs w:val="36"/>
        </w:rPr>
        <w:t>2021年部门整体支出绩效评价报告</w:t>
      </w:r>
      <w:bookmarkEnd w:id="81"/>
      <w:bookmarkEnd w:id="82"/>
      <w:bookmarkEnd w:id="83"/>
      <w:bookmarkEnd w:id="84"/>
      <w:bookmarkEnd w:id="85"/>
    </w:p>
    <w:p>
      <w:pPr>
        <w:spacing w:line="580" w:lineRule="exact"/>
        <w:ind w:firstLineChars="200" w:firstLine="640"/>
        <w:rPr>
          <w:rFonts w:ascii="黑体" w:eastAsia="黑体" w:cs="黑体"/>
          <w:sz w:val="32"/>
          <w:szCs w:val="32"/>
        </w:rPr>
      </w:pPr>
    </w:p>
    <w:p>
      <w:pPr>
        <w:spacing w:line="580" w:lineRule="exact"/>
        <w:ind w:firstLineChars="200" w:firstLine="640"/>
        <w:rPr>
          <w:rFonts w:ascii="黑体" w:eastAsia="黑体" w:cs="黑体"/>
          <w:sz w:val="32"/>
          <w:szCs w:val="32"/>
        </w:rPr>
      </w:pPr>
      <w:r>
        <w:rPr>
          <w:rFonts w:ascii="黑体" w:eastAsia="黑体" w:cs="黑体" w:hint="eastAsia"/>
          <w:sz w:val="32"/>
          <w:szCs w:val="32"/>
        </w:rPr>
        <w:t>一、部门（单位）概况</w:t>
      </w:r>
    </w:p>
    <w:p>
      <w:pPr>
        <w:spacing w:line="580" w:lineRule="exact"/>
        <w:ind w:firstLineChars="200" w:firstLine="640"/>
        <w:rPr>
          <w:rFonts w:ascii="楷体" w:eastAsia="楷体" w:cs="仿宋_GB2312"/>
          <w:b/>
          <w:sz w:val="32"/>
          <w:szCs w:val="32"/>
        </w:rPr>
      </w:pPr>
      <w:r>
        <w:rPr>
          <w:rFonts w:ascii="楷体" w:eastAsia="楷体" w:cs="仿宋_GB2312"/>
          <w:b/>
          <w:sz w:val="32"/>
          <w:szCs w:val="32"/>
        </w:rPr>
        <w:t>（一）机构组成。</w:t>
      </w:r>
    </w:p>
    <w:p>
      <w:pPr>
        <w:ind w:firstLineChars="250" w:firstLine="800"/>
        <w:rPr>
          <w:rFonts w:ascii="仿宋" w:eastAsia="仿宋"/>
          <w:sz w:val="32"/>
          <w:szCs w:val="32"/>
        </w:rPr>
      </w:pPr>
      <w:r>
        <w:rPr>
          <w:rFonts w:ascii="仿宋" w:eastAsia="仿宋" w:hint="eastAsia"/>
          <w:sz w:val="32"/>
          <w:szCs w:val="32"/>
        </w:rPr>
        <w:t>攀枝花市民族宗教事务委员会与市委统战部合署办公，其中：民族事务科、民族经济发展科（两资办）、宗教事务科、民族教科文卫和外事联络科主要从事民族宗教工作，下属全额拨款事业单位1个—攀枝花市民族宗教干部学校。</w:t>
      </w:r>
    </w:p>
    <w:p>
      <w:pPr>
        <w:spacing w:line="580" w:lineRule="exact"/>
        <w:ind w:firstLineChars="200" w:firstLine="640"/>
        <w:rPr>
          <w:rFonts w:ascii="楷体" w:eastAsia="楷体" w:cs="仿宋_GB2312"/>
          <w:b/>
          <w:sz w:val="32"/>
          <w:szCs w:val="32"/>
        </w:rPr>
      </w:pPr>
      <w:r>
        <w:rPr>
          <w:rFonts w:ascii="楷体" w:eastAsia="楷体" w:cs="仿宋_GB2312"/>
          <w:b/>
          <w:sz w:val="32"/>
          <w:szCs w:val="32"/>
        </w:rPr>
        <w:t>（二）机构职能。</w:t>
      </w:r>
    </w:p>
    <w:p>
      <w:pPr>
        <w:spacing w:line="640" w:lineRule="exact"/>
        <w:ind w:firstLineChars="200" w:firstLine="640"/>
        <w:rPr>
          <w:rFonts w:ascii="仿宋" w:eastAsia="仿宋"/>
          <w:sz w:val="32"/>
          <w:szCs w:val="32"/>
        </w:rPr>
      </w:pPr>
      <w:r>
        <w:rPr>
          <w:rFonts w:ascii="仿宋" w:eastAsia="仿宋" w:hint="eastAsia"/>
          <w:sz w:val="32"/>
          <w:szCs w:val="32"/>
        </w:rPr>
        <w:t>贯彻执行党和政府关于民族、宗教工作的法律法规和方针政策,处理民族关系中的重大事项。负责民族、宗教政策、法律、法规的宣传教育工作并监督实施。拟定民族地区经济社会发展规划。管理民族专项资金。研究少数民族和民族地区教育、文化、科技、卫生、体育、计划生育、新闻出版等方面的特殊问题。监督和办理少数民族权益保障事宜。依法保护公民宗教信仰自由和正常的宗教活动，维护宗教界合法权益，支持宗教团体加强自身建设。负责对宗教法律、法规和政策的贯彻实施进行监督管理；引导、促进宗教在法律、法规和政策范围内活动，防止和制止不法分子利用宗教进行非法、违法活动。负责组织实施安置凉山州自发迁居农民工作规划、管理，协助县（区）和相关部门处理好自发迁居农民的遗留问题，指导县区完成凉山州自发迁农民的安置发展工作。会同相关部门做好少数民族干部和民族工作干部的培养、教育和推荐使用工作。参与涉及民族、宗教事务的对外宣传工作。承担市政府公布的有关行政审批事项。</w:t>
      </w:r>
    </w:p>
    <w:p>
      <w:pPr>
        <w:spacing w:line="580" w:lineRule="exact"/>
        <w:ind w:firstLineChars="200" w:firstLine="640"/>
        <w:rPr>
          <w:rFonts w:ascii="楷体" w:eastAsia="楷体" w:cs="仿宋_GB2312"/>
          <w:b/>
          <w:sz w:val="32"/>
          <w:szCs w:val="32"/>
        </w:rPr>
      </w:pPr>
      <w:r>
        <w:rPr>
          <w:rFonts w:ascii="楷体" w:eastAsia="楷体" w:cs="仿宋_GB2312"/>
          <w:b/>
          <w:sz w:val="32"/>
          <w:szCs w:val="32"/>
        </w:rPr>
        <w:t>（三）人员概况。</w:t>
      </w:r>
    </w:p>
    <w:p>
      <w:pPr>
        <w:widowControl/>
        <w:shd w:val="clear" w:color="auto" w:fill="FFFFFF"/>
        <w:spacing w:line="640" w:lineRule="exact"/>
        <w:ind w:firstLineChars="200" w:firstLine="640"/>
        <w:rPr>
          <w:rFonts w:ascii="仿宋" w:eastAsia="仿宋"/>
          <w:sz w:val="32"/>
          <w:szCs w:val="32"/>
        </w:rPr>
      </w:pPr>
      <w:r>
        <w:rPr>
          <w:rFonts w:ascii="仿宋" w:eastAsia="仿宋" w:hint="eastAsia"/>
          <w:sz w:val="32"/>
          <w:szCs w:val="32"/>
        </w:rPr>
        <w:t>截至2021年末，</w:t>
      </w:r>
      <w:r>
        <w:rPr>
          <w:rFonts w:ascii="仿宋" w:eastAsia="仿宋" w:cs="Arial" w:hint="eastAsia"/>
          <w:color w:val="333333"/>
          <w:kern w:val="0"/>
          <w:sz w:val="32"/>
          <w:szCs w:val="32"/>
        </w:rPr>
        <w:t>委机关与市委统战部机关合计27名行政编制，攀枝花市民族宗教干部学校事业编制9名。攀枝花市民族宗教事务委员会财务独立，全委</w:t>
      </w:r>
      <w:r>
        <w:rPr>
          <w:rFonts w:ascii="仿宋" w:eastAsia="仿宋" w:hint="eastAsia"/>
          <w:sz w:val="32"/>
          <w:szCs w:val="32"/>
        </w:rPr>
        <w:t>共有在职职工24人，其中公务员15人，机关工勤1人，事业人员7人,占编聘用人员1人。退休职工15人，享受遗属补助1人。</w:t>
      </w:r>
    </w:p>
    <w:p>
      <w:pPr>
        <w:spacing w:line="580" w:lineRule="exact"/>
        <w:ind w:firstLineChars="200" w:firstLine="640"/>
        <w:rPr>
          <w:rFonts w:ascii="黑体" w:eastAsia="黑体" w:cs="黑体"/>
          <w:sz w:val="32"/>
          <w:szCs w:val="32"/>
        </w:rPr>
      </w:pPr>
      <w:r>
        <w:rPr>
          <w:rFonts w:ascii="黑体" w:eastAsia="黑体" w:cs="黑体"/>
          <w:sz w:val="32"/>
          <w:szCs w:val="32"/>
        </w:rPr>
        <w:t>二、部门财政资金收支情况</w:t>
      </w:r>
    </w:p>
    <w:p>
      <w:pPr>
        <w:spacing w:line="580" w:lineRule="exact"/>
        <w:ind w:firstLineChars="200" w:firstLine="640"/>
        <w:rPr>
          <w:rFonts w:ascii="楷体" w:eastAsia="楷体" w:cs="仿宋_GB2312"/>
          <w:b/>
          <w:sz w:val="32"/>
          <w:szCs w:val="32"/>
        </w:rPr>
      </w:pPr>
      <w:r>
        <w:rPr>
          <w:rFonts w:ascii="楷体" w:eastAsia="楷体" w:cs="仿宋_GB2312"/>
          <w:b/>
          <w:sz w:val="32"/>
          <w:szCs w:val="32"/>
        </w:rPr>
        <w:t>（一）部门财政资金收入情况。</w:t>
      </w:r>
    </w:p>
    <w:p>
      <w:pPr>
        <w:spacing w:line="580" w:lineRule="exact"/>
        <w:ind w:firstLineChars="200" w:firstLine="640"/>
        <w:rPr>
          <w:rFonts w:ascii="仿宋" w:eastAsia="仿宋" w:cs="仿宋_GB2312"/>
          <w:sz w:val="32"/>
          <w:szCs w:val="32"/>
        </w:rPr>
      </w:pPr>
      <w:r>
        <w:rPr>
          <w:rFonts w:ascii="仿宋" w:eastAsia="仿宋"/>
          <w:color w:val="000000"/>
          <w:sz w:val="32"/>
          <w:szCs w:val="32"/>
        </w:rPr>
        <w:t>20</w:t>
      </w:r>
      <w:r>
        <w:rPr>
          <w:rFonts w:ascii="仿宋" w:eastAsia="仿宋" w:hint="eastAsia"/>
          <w:color w:val="000000"/>
          <w:sz w:val="32"/>
          <w:szCs w:val="32"/>
        </w:rPr>
        <w:t>21年财政拨款收入734.14万元</w:t>
      </w:r>
      <w:r>
        <w:rPr>
          <w:rFonts w:ascii="仿宋" w:eastAsia="仿宋" w:hint="eastAsia"/>
          <w:sz w:val="32"/>
          <w:szCs w:val="32"/>
        </w:rPr>
        <w:t>。</w:t>
      </w:r>
    </w:p>
    <w:p>
      <w:pPr>
        <w:spacing w:line="580" w:lineRule="exact"/>
        <w:ind w:firstLineChars="200" w:firstLine="640"/>
        <w:rPr>
          <w:rFonts w:ascii="楷体" w:eastAsia="楷体" w:cs="仿宋_GB2312"/>
          <w:b/>
          <w:sz w:val="32"/>
          <w:szCs w:val="32"/>
        </w:rPr>
      </w:pPr>
      <w:r>
        <w:rPr>
          <w:rFonts w:ascii="楷体" w:eastAsia="楷体" w:cs="仿宋_GB2312"/>
          <w:b/>
          <w:sz w:val="32"/>
          <w:szCs w:val="32"/>
        </w:rPr>
        <w:t>（二）部门财政资金支出情况。</w:t>
      </w:r>
    </w:p>
    <w:p>
      <w:pPr>
        <w:spacing w:line="640" w:lineRule="exact"/>
        <w:ind w:firstLineChars="200" w:firstLine="640"/>
        <w:rPr>
          <w:rFonts w:ascii="仿宋" w:eastAsia="仿宋"/>
          <w:szCs w:val="32"/>
        </w:rPr>
      </w:pPr>
      <w:r>
        <w:rPr>
          <w:rFonts w:ascii="仿宋" w:eastAsia="仿宋" w:hint="eastAsia"/>
          <w:sz w:val="32"/>
          <w:szCs w:val="32"/>
        </w:rPr>
        <w:t>2021年财政拨款支出734.14万元：其中基本支出584.62万元（人员经费</w:t>
      </w:r>
      <w:r>
        <w:rPr>
          <w:rFonts w:ascii="仿宋" w:eastAsia="仿宋" w:hint="eastAsia"/>
          <w:color w:val="000000"/>
          <w:sz w:val="32"/>
          <w:szCs w:val="32"/>
        </w:rPr>
        <w:t>504.66</w:t>
      </w:r>
      <w:r>
        <w:rPr>
          <w:rFonts w:ascii="仿宋" w:eastAsia="仿宋" w:hint="eastAsia"/>
          <w:sz w:val="32"/>
          <w:szCs w:val="32"/>
        </w:rPr>
        <w:t>万元，日常公用支出</w:t>
      </w:r>
      <w:r>
        <w:rPr>
          <w:rFonts w:ascii="仿宋" w:eastAsia="仿宋" w:hint="eastAsia"/>
          <w:color w:val="000000"/>
          <w:sz w:val="32"/>
          <w:szCs w:val="32"/>
        </w:rPr>
        <w:t>79.96</w:t>
      </w:r>
      <w:r>
        <w:rPr>
          <w:rFonts w:ascii="仿宋" w:eastAsia="仿宋" w:hint="eastAsia"/>
          <w:sz w:val="32"/>
          <w:szCs w:val="32"/>
        </w:rPr>
        <w:t>万元），项目支出149.52万元</w:t>
      </w:r>
      <w:r>
        <w:rPr>
          <w:rFonts w:ascii="仿宋" w:eastAsia="仿宋" w:hint="eastAsia"/>
          <w:szCs w:val="32"/>
        </w:rPr>
        <w:t>。</w:t>
      </w:r>
    </w:p>
    <w:p>
      <w:pPr>
        <w:spacing w:line="580" w:lineRule="exact"/>
        <w:ind w:firstLineChars="200" w:firstLine="640"/>
        <w:rPr>
          <w:rFonts w:ascii="黑体" w:eastAsia="黑体" w:cs="黑体"/>
          <w:sz w:val="32"/>
          <w:szCs w:val="32"/>
        </w:rPr>
      </w:pPr>
      <w:r>
        <w:rPr>
          <w:rFonts w:ascii="黑体" w:eastAsia="黑体" w:cs="黑体"/>
          <w:sz w:val="32"/>
          <w:szCs w:val="32"/>
        </w:rPr>
        <w:t>三、部门整体预算绩效管理情况</w:t>
      </w:r>
    </w:p>
    <w:p>
      <w:pPr>
        <w:spacing w:line="580" w:lineRule="exact"/>
        <w:ind w:firstLineChars="200" w:firstLine="640"/>
        <w:rPr>
          <w:rFonts w:ascii="楷体" w:eastAsia="楷体" w:cs="仿宋_GB2312"/>
          <w:b/>
          <w:sz w:val="32"/>
          <w:szCs w:val="32"/>
        </w:rPr>
      </w:pPr>
      <w:r>
        <w:rPr>
          <w:rFonts w:ascii="楷体" w:eastAsia="楷体" w:cs="仿宋_GB2312"/>
          <w:b/>
          <w:sz w:val="32"/>
          <w:szCs w:val="32"/>
        </w:rPr>
        <w:t>（一）部门预算管理。</w:t>
      </w:r>
    </w:p>
    <w:p>
      <w:pPr>
        <w:spacing w:line="353"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2021年部门绩效目标制定完整，目标完成较好，预算编制较准确、支出控制良好、执行进度与年初基本相符，全面完成年初预算。无违规记录。部门支出绩效指标达到了预期设定的目标值，绩效目标完成较好。</w:t>
      </w:r>
    </w:p>
    <w:p>
      <w:pPr>
        <w:pStyle w:val="15"/>
        <w:spacing w:beforeLines="0" w:before="93" w:line="353" w:lineRule="auto"/>
        <w:rPr>
          <w:rFonts w:cs="仿宋_GB2312"/>
          <w:sz w:val="32"/>
          <w:szCs w:val="32"/>
        </w:rPr>
      </w:pPr>
      <w:r>
        <w:rPr>
          <w:rFonts w:cs="仿宋_GB2312" w:hint="eastAsia"/>
          <w:sz w:val="32"/>
          <w:szCs w:val="32"/>
        </w:rPr>
        <w:t xml:space="preserve">    1.目标制定。2021 年，我委坚持以习近平新时代中国特色社会主义思想为统领，在市委市政府的坚强领导下，聚焦市委市政府决策部署，持续深入贯彻党的十九大关于民族宗教工作的重要部署和习近平总书记对四川工作系列重要指示精神，坚持依法管理宗教事务，推动宗教中国化有关要求，依据部门“三定”方案确定的职责，科学制定 2021 年部门整体支出、部门项目及专项项目绩效目标，编制要素完整、绩效指标细化量化。</w:t>
      </w:r>
    </w:p>
    <w:p>
      <w:pPr>
        <w:pStyle w:val="15"/>
        <w:spacing w:beforeLines="0" w:before="93" w:line="353" w:lineRule="auto"/>
        <w:ind w:firstLine="600"/>
        <w:rPr>
          <w:rFonts w:cs="仿宋_GB2312"/>
          <w:sz w:val="32"/>
          <w:szCs w:val="32"/>
        </w:rPr>
      </w:pPr>
      <w:r>
        <w:rPr>
          <w:rFonts w:cs="仿宋_GB2312" w:hint="eastAsia"/>
          <w:sz w:val="32"/>
          <w:szCs w:val="32"/>
        </w:rPr>
        <w:t>2.目标实现。2021年部门绩效目标制定完整，目标完成较好，预算编制较准确、支出控制良好、执行进度与年初基本相符，全面完成年初预算。</w:t>
      </w:r>
    </w:p>
    <w:p>
      <w:pPr>
        <w:pStyle w:val="15"/>
        <w:spacing w:beforeLines="0" w:before="93" w:line="353" w:lineRule="auto"/>
        <w:ind w:firstLine="600"/>
        <w:rPr>
          <w:rFonts w:cs="仿宋_GB2312"/>
          <w:sz w:val="32"/>
          <w:szCs w:val="32"/>
        </w:rPr>
      </w:pPr>
      <w:r>
        <w:rPr>
          <w:rFonts w:cs="仿宋_GB2312" w:hint="eastAsia"/>
          <w:sz w:val="32"/>
          <w:szCs w:val="32"/>
        </w:rPr>
        <w:t>3.支出控制。相关支出部门年初预算数与决算数偏差度为10%。</w:t>
      </w:r>
    </w:p>
    <w:p>
      <w:pPr>
        <w:pStyle w:val="15"/>
        <w:spacing w:beforeLines="0" w:before="93" w:line="353" w:lineRule="auto"/>
        <w:ind w:firstLine="600"/>
        <w:rPr>
          <w:rFonts w:cs="仿宋_GB2312"/>
          <w:sz w:val="32"/>
          <w:szCs w:val="32"/>
        </w:rPr>
      </w:pPr>
      <w:r>
        <w:rPr>
          <w:rFonts w:cs="仿宋_GB2312" w:hint="eastAsia"/>
          <w:sz w:val="32"/>
          <w:szCs w:val="32"/>
        </w:rPr>
        <w:t>4.预算完成。我委预算执行率100%。</w:t>
      </w:r>
    </w:p>
    <w:p>
      <w:pPr>
        <w:spacing w:line="580" w:lineRule="exact"/>
        <w:ind w:firstLineChars="200" w:firstLine="640"/>
        <w:rPr>
          <w:rFonts w:ascii="楷体" w:eastAsia="楷体" w:cs="仿宋_GB2312"/>
          <w:b/>
          <w:sz w:val="32"/>
          <w:szCs w:val="32"/>
        </w:rPr>
      </w:pPr>
      <w:r>
        <w:rPr>
          <w:rFonts w:ascii="楷体" w:eastAsia="楷体" w:cs="仿宋_GB2312"/>
          <w:b/>
          <w:sz w:val="32"/>
          <w:szCs w:val="32"/>
        </w:rPr>
        <w:t>（二）结果应用情况。</w:t>
      </w:r>
    </w:p>
    <w:p>
      <w:pPr>
        <w:spacing w:line="640" w:lineRule="exact"/>
        <w:ind w:firstLineChars="200" w:firstLine="640"/>
        <w:rPr>
          <w:rFonts w:ascii="仿宋" w:eastAsia="仿宋"/>
          <w:sz w:val="32"/>
          <w:szCs w:val="32"/>
          <w:lang w:val="zh-CN"/>
        </w:rPr>
      </w:pPr>
      <w:r>
        <w:rPr>
          <w:rFonts w:ascii="仿宋" w:eastAsia="仿宋" w:hint="eastAsia"/>
          <w:sz w:val="32"/>
          <w:szCs w:val="32"/>
          <w:lang w:val="zh-CN"/>
        </w:rPr>
        <w:t>项目预算绩效的严格管理，保障了委机关及下属事业单位业务活动的正常运转。</w:t>
      </w:r>
      <w:r>
        <w:rPr>
          <w:rFonts w:ascii="仿宋" w:eastAsia="仿宋" w:cs="仿宋_GB2312" w:hint="eastAsia"/>
          <w:sz w:val="32"/>
          <w:szCs w:val="32"/>
        </w:rPr>
        <w:t>年终执行完毕后，对</w:t>
      </w:r>
      <w:r>
        <w:rPr>
          <w:rFonts w:ascii="仿宋" w:eastAsia="仿宋" w:hint="eastAsia"/>
          <w:sz w:val="32"/>
          <w:szCs w:val="32"/>
          <w:lang w:val="zh-CN"/>
        </w:rPr>
        <w:t>全市性宗教团体工作经费、宗教教职人员困难补助费和宗教界人士慰问费等</w:t>
      </w:r>
      <w:r>
        <w:rPr>
          <w:rFonts w:ascii="仿宋" w:eastAsia="仿宋" w:cs="仿宋_GB2312" w:hint="eastAsia"/>
          <w:sz w:val="32"/>
          <w:szCs w:val="32"/>
        </w:rPr>
        <w:t>8个项目开展了绩效自评。</w:t>
      </w:r>
      <w:r>
        <w:rPr>
          <w:rFonts w:ascii="仿宋" w:eastAsia="仿宋" w:hint="eastAsia"/>
          <w:sz w:val="32"/>
          <w:szCs w:val="32"/>
          <w:lang w:val="zh-CN"/>
        </w:rPr>
        <w:t>项目资金的有效使用，改善了信教群众活动条件，解决了全市宗教教职人员现实困难，团结、争取、教育了宗教界人士和广大信教群众，</w:t>
      </w:r>
      <w:r>
        <w:rPr>
          <w:rFonts w:ascii="仿宋_GB2312" w:eastAsia="仿宋_GB2312" w:cs="仿宋_GB2312" w:hint="eastAsia"/>
          <w:color w:val="000000"/>
          <w:sz w:val="32"/>
          <w:szCs w:val="32"/>
        </w:rPr>
        <w:t>推进了民族地区乡村振兴战略，</w:t>
      </w:r>
      <w:r>
        <w:rPr>
          <w:rFonts w:ascii="仿宋" w:eastAsia="仿宋" w:hint="eastAsia"/>
          <w:sz w:val="32"/>
          <w:szCs w:val="32"/>
          <w:lang w:val="zh-CN"/>
        </w:rPr>
        <w:t>维护了社会稳定、和谐，单位职工、信教群众、宗教团体、宗教界人士、民族地区服务人群满意度抽样调查均达满意及以上。</w:t>
      </w:r>
    </w:p>
    <w:p>
      <w:pPr>
        <w:pStyle w:val="15"/>
        <w:spacing w:beforeLines="0" w:before="93"/>
        <w:rPr>
          <w:rFonts w:cs="仿宋_GB2312"/>
          <w:sz w:val="32"/>
          <w:szCs w:val="32"/>
        </w:rPr>
      </w:pPr>
      <w:r>
        <w:rPr>
          <w:rFonts w:cs="仿宋_GB2312" w:hint="eastAsia"/>
          <w:sz w:val="32"/>
          <w:szCs w:val="32"/>
        </w:rPr>
        <w:t xml:space="preserve">    1.内部应用。在进行 2022 年预算编制时，严格执行预算安排与绩效挂钩，按照 2021 年 10 月预算执行进度和事前绩效评估结果，合理预算2022年部门和项目经费。</w:t>
      </w:r>
    </w:p>
    <w:p>
      <w:pPr>
        <w:pStyle w:val="15"/>
        <w:spacing w:beforeLines="0" w:before="93"/>
        <w:ind w:firstLine="640"/>
        <w:rPr>
          <w:rFonts w:ascii="仿宋" w:eastAsia="仿宋" w:cs="仿宋_GB2312"/>
          <w:sz w:val="32"/>
          <w:szCs w:val="32"/>
        </w:rPr>
      </w:pPr>
      <w:r>
        <w:rPr>
          <w:rFonts w:cs="仿宋_GB2312" w:hint="eastAsia"/>
          <w:sz w:val="32"/>
          <w:szCs w:val="32"/>
        </w:rPr>
        <w:t>2.自评公开。年终执行完毕后，</w:t>
      </w:r>
      <w:r>
        <w:rPr>
          <w:rFonts w:ascii="仿宋" w:eastAsia="仿宋" w:cs="仿宋_GB2312" w:hint="eastAsia"/>
          <w:sz w:val="32"/>
          <w:szCs w:val="32"/>
        </w:rPr>
        <w:t>及时按时间和要求在网上进行了部门整体及项目绩效自评公开。</w:t>
      </w:r>
    </w:p>
    <w:p>
      <w:pPr>
        <w:spacing w:line="580" w:lineRule="exact"/>
        <w:ind w:firstLineChars="200" w:firstLine="640"/>
        <w:rPr>
          <w:rFonts w:ascii="楷体" w:eastAsia="楷体" w:cs="仿宋_GB2312"/>
          <w:b/>
          <w:sz w:val="32"/>
          <w:szCs w:val="32"/>
        </w:rPr>
      </w:pPr>
      <w:r>
        <w:rPr>
          <w:rFonts w:ascii="楷体" w:eastAsia="楷体" w:cs="仿宋_GB2312"/>
          <w:b/>
          <w:sz w:val="32"/>
          <w:szCs w:val="32"/>
        </w:rPr>
        <w:t>（</w:t>
      </w:r>
      <w:r>
        <w:rPr>
          <w:rFonts w:ascii="楷体" w:eastAsia="楷体" w:cs="仿宋_GB2312" w:hint="eastAsia"/>
          <w:b/>
          <w:sz w:val="32"/>
          <w:szCs w:val="32"/>
        </w:rPr>
        <w:t>三</w:t>
      </w:r>
      <w:r>
        <w:rPr>
          <w:rFonts w:ascii="楷体" w:eastAsia="楷体" w:cs="仿宋_GB2312"/>
          <w:b/>
          <w:sz w:val="32"/>
          <w:szCs w:val="32"/>
        </w:rPr>
        <w:t>）</w:t>
      </w:r>
      <w:r>
        <w:rPr>
          <w:rFonts w:ascii="楷体" w:eastAsia="楷体" w:cs="仿宋_GB2312" w:hint="eastAsia"/>
          <w:b/>
          <w:sz w:val="32"/>
          <w:szCs w:val="32"/>
        </w:rPr>
        <w:t>自评质量</w:t>
      </w:r>
      <w:r>
        <w:rPr>
          <w:rFonts w:ascii="楷体" w:eastAsia="楷体" w:cs="仿宋_GB2312"/>
          <w:b/>
          <w:sz w:val="32"/>
          <w:szCs w:val="32"/>
        </w:rPr>
        <w:t>。</w:t>
      </w:r>
    </w:p>
    <w:p>
      <w:pPr>
        <w:spacing w:line="580" w:lineRule="exact"/>
        <w:ind w:firstLineChars="200" w:firstLine="640"/>
        <w:rPr>
          <w:lang w:val="zh-CN"/>
        </w:rPr>
      </w:pPr>
      <w:r>
        <w:rPr>
          <w:rFonts w:ascii="仿宋" w:eastAsia="仿宋" w:cs="仿宋_GB2312" w:hint="eastAsia"/>
          <w:sz w:val="32"/>
          <w:szCs w:val="32"/>
        </w:rPr>
        <w:t>本部门按要求对2021年部门整体支出开展绩效自评，从评价情况来看</w:t>
      </w:r>
      <w:r>
        <w:rPr>
          <w:rFonts w:ascii="仿宋" w:eastAsia="仿宋" w:hint="eastAsia"/>
          <w:sz w:val="32"/>
          <w:szCs w:val="32"/>
        </w:rPr>
        <w:t>部门支出绩效指标达到了预期设定的目标值，绩效目标完成较好，项目做到专项专用,达到设定目标。</w:t>
      </w:r>
    </w:p>
    <w:p>
      <w:pPr>
        <w:spacing w:line="580" w:lineRule="exact"/>
        <w:ind w:firstLineChars="200" w:firstLine="640"/>
        <w:rPr>
          <w:rFonts w:ascii="黑体" w:eastAsia="黑体" w:cs="黑体"/>
          <w:i/>
          <w:sz w:val="32"/>
          <w:szCs w:val="32"/>
        </w:rPr>
      </w:pPr>
      <w:r>
        <w:rPr>
          <w:rFonts w:ascii="黑体" w:eastAsia="黑体" w:cs="黑体"/>
          <w:sz w:val="32"/>
          <w:szCs w:val="32"/>
        </w:rPr>
        <w:t>四、评价结论及建议</w:t>
      </w:r>
    </w:p>
    <w:p>
      <w:pPr>
        <w:spacing w:line="580" w:lineRule="exact"/>
        <w:ind w:firstLineChars="200" w:firstLine="640"/>
        <w:rPr>
          <w:rFonts w:ascii="楷体" w:eastAsia="楷体" w:cs="仿宋_GB2312"/>
          <w:b/>
          <w:sz w:val="32"/>
          <w:szCs w:val="32"/>
        </w:rPr>
      </w:pPr>
      <w:r>
        <w:rPr>
          <w:rFonts w:ascii="楷体" w:eastAsia="楷体" w:cs="仿宋_GB2312"/>
          <w:b/>
          <w:sz w:val="32"/>
          <w:szCs w:val="32"/>
        </w:rPr>
        <w:t>（一）评价结论。</w:t>
      </w:r>
    </w:p>
    <w:p>
      <w:pPr>
        <w:spacing w:line="580" w:lineRule="exact"/>
        <w:ind w:firstLineChars="200" w:firstLine="640"/>
        <w:rPr>
          <w:rFonts w:ascii="仿宋" w:eastAsia="仿宋" w:cs="仿宋_GB2312"/>
          <w:sz w:val="32"/>
          <w:szCs w:val="32"/>
        </w:rPr>
      </w:pPr>
      <w:r>
        <w:rPr>
          <w:rFonts w:ascii="仿宋" w:eastAsia="仿宋" w:hint="eastAsia"/>
          <w:sz w:val="32"/>
          <w:szCs w:val="32"/>
        </w:rPr>
        <w:t>本部门2021年支出绩效指标达到了预期设定的目标值，绩效目标完成较好。</w:t>
      </w:r>
    </w:p>
    <w:p>
      <w:pPr>
        <w:spacing w:line="580" w:lineRule="exact"/>
        <w:ind w:firstLineChars="200" w:firstLine="640"/>
        <w:rPr>
          <w:rFonts w:ascii="楷体" w:eastAsia="楷体" w:cs="仿宋_GB2312"/>
          <w:b/>
          <w:sz w:val="32"/>
          <w:szCs w:val="32"/>
        </w:rPr>
      </w:pPr>
      <w:r>
        <w:rPr>
          <w:rFonts w:ascii="楷体" w:eastAsia="楷体" w:cs="仿宋_GB2312"/>
          <w:b/>
          <w:sz w:val="32"/>
          <w:szCs w:val="32"/>
        </w:rPr>
        <w:t>（二）存在问题。</w:t>
      </w:r>
    </w:p>
    <w:p>
      <w:pPr>
        <w:spacing w:line="640" w:lineRule="exact"/>
        <w:ind w:firstLineChars="200" w:firstLine="640"/>
        <w:rPr>
          <w:rFonts w:ascii="仿宋" w:eastAsia="仿宋"/>
          <w:sz w:val="32"/>
          <w:szCs w:val="32"/>
        </w:rPr>
      </w:pPr>
      <w:r>
        <w:rPr>
          <w:rFonts w:ascii="仿宋" w:eastAsia="仿宋" w:hint="eastAsia"/>
          <w:sz w:val="32"/>
          <w:szCs w:val="32"/>
        </w:rPr>
        <w:t>1.单位工作人员存在开支后不及时报账的现象，需进一步加强项目开展进度的跟踪及监管，发挥资金的使用效益，提高预算完成率。</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2.受</w:t>
      </w:r>
      <w:r>
        <w:rPr>
          <w:rFonts w:ascii="仿宋" w:eastAsia="仿宋" w:cs="仿宋_GB2312"/>
          <w:sz w:val="32"/>
          <w:szCs w:val="32"/>
        </w:rPr>
        <w:t>疫情防控等客观原因影响</w:t>
      </w:r>
      <w:r>
        <w:rPr>
          <w:rFonts w:ascii="仿宋" w:eastAsia="仿宋" w:cs="仿宋_GB2312" w:hint="eastAsia"/>
          <w:sz w:val="32"/>
          <w:szCs w:val="32"/>
        </w:rPr>
        <w:t>，</w:t>
      </w:r>
      <w:r>
        <w:rPr>
          <w:rFonts w:ascii="仿宋" w:eastAsia="仿宋" w:cs="仿宋_GB2312"/>
          <w:sz w:val="32"/>
          <w:szCs w:val="32"/>
        </w:rPr>
        <w:t>部分资金使用</w:t>
      </w:r>
      <w:r>
        <w:rPr>
          <w:rFonts w:ascii="仿宋" w:eastAsia="仿宋" w:cs="仿宋_GB2312" w:hint="eastAsia"/>
          <w:sz w:val="32"/>
          <w:szCs w:val="32"/>
        </w:rPr>
        <w:t>滞后，今后</w:t>
      </w:r>
      <w:r>
        <w:rPr>
          <w:rFonts w:ascii="仿宋" w:eastAsia="仿宋" w:cs="仿宋_GB2312"/>
          <w:sz w:val="32"/>
          <w:szCs w:val="32"/>
        </w:rPr>
        <w:t>需进一步提高防风险能力</w:t>
      </w:r>
      <w:r>
        <w:rPr>
          <w:rFonts w:ascii="仿宋" w:eastAsia="仿宋" w:cs="仿宋_GB2312" w:hint="eastAsia"/>
          <w:sz w:val="32"/>
          <w:szCs w:val="32"/>
        </w:rPr>
        <w:t>及风险研判能力。</w:t>
      </w:r>
    </w:p>
    <w:p>
      <w:pPr>
        <w:spacing w:line="580" w:lineRule="exact"/>
        <w:ind w:firstLineChars="200" w:firstLine="640"/>
        <w:rPr>
          <w:rFonts w:ascii="楷体" w:eastAsia="楷体" w:cs="仿宋_GB2312"/>
          <w:b/>
          <w:sz w:val="32"/>
          <w:szCs w:val="32"/>
        </w:rPr>
      </w:pPr>
      <w:r>
        <w:rPr>
          <w:rFonts w:ascii="楷体" w:eastAsia="楷体" w:cs="仿宋_GB2312"/>
          <w:b/>
          <w:sz w:val="32"/>
          <w:szCs w:val="32"/>
        </w:rPr>
        <w:t>（三）改进建议。</w:t>
      </w:r>
    </w:p>
    <w:p>
      <w:pPr>
        <w:spacing w:line="640" w:lineRule="exact"/>
        <w:ind w:firstLineChars="200" w:firstLine="640"/>
        <w:rPr>
          <w:rFonts w:ascii="仿宋" w:eastAsia="仿宋"/>
          <w:sz w:val="32"/>
          <w:szCs w:val="32"/>
          <w:lang w:val="zh-CN"/>
        </w:rPr>
      </w:pPr>
      <w:r>
        <w:rPr>
          <w:rFonts w:ascii="仿宋" w:eastAsia="仿宋" w:hint="eastAsia"/>
          <w:sz w:val="32"/>
          <w:szCs w:val="32"/>
          <w:lang w:val="zh-CN"/>
        </w:rPr>
        <w:t xml:space="preserve">1.加强单位职工财经纪律等宣传教育，树立过紧日子思想，提高资金使用进度。    </w:t>
      </w:r>
    </w:p>
    <w:p>
      <w:pPr>
        <w:spacing w:line="580" w:lineRule="exact"/>
        <w:ind w:firstLineChars="200" w:firstLine="640"/>
        <w:rPr>
          <w:rFonts w:ascii="仿宋" w:eastAsia="仿宋" w:cs="仿宋_GB2312"/>
          <w:sz w:val="32"/>
          <w:szCs w:val="32"/>
        </w:rPr>
      </w:pPr>
      <w:r>
        <w:rPr>
          <w:rFonts w:ascii="仿宋" w:eastAsia="仿宋" w:hint="eastAsia"/>
          <w:sz w:val="32"/>
          <w:szCs w:val="32"/>
          <w:lang w:val="zh-CN"/>
        </w:rPr>
        <w:t>2.</w:t>
      </w:r>
      <w:r>
        <w:rPr>
          <w:rFonts w:ascii="仿宋" w:eastAsia="仿宋" w:cs="仿宋_GB2312" w:hint="eastAsia"/>
          <w:sz w:val="32"/>
          <w:szCs w:val="32"/>
        </w:rPr>
        <w:t>在资金执行过程中</w:t>
      </w:r>
      <w:r>
        <w:rPr>
          <w:rFonts w:ascii="仿宋" w:eastAsia="仿宋" w:cs="仿宋" w:hint="eastAsia"/>
          <w:sz w:val="32"/>
          <w:szCs w:val="32"/>
        </w:rPr>
        <w:t>，加强与市财政的沟通协调，建议加快专项经费审批流程，避免年底出现扎推支付现象，争取项目资金能及时拨付到位，</w:t>
      </w:r>
      <w:r>
        <w:rPr>
          <w:rFonts w:ascii="仿宋" w:eastAsia="仿宋" w:cs="仿宋_GB2312" w:hint="eastAsia"/>
          <w:sz w:val="32"/>
          <w:szCs w:val="32"/>
        </w:rPr>
        <w:t>以保证项目建设单位按进度完成分解的绩效目标。</w:t>
      </w:r>
    </w:p>
    <w:p>
      <w:pPr>
        <w:spacing w:line="640" w:lineRule="exact"/>
        <w:ind w:firstLineChars="200" w:firstLine="640"/>
        <w:rPr>
          <w:rFonts w:ascii="仿宋" w:eastAsia="仿宋"/>
          <w:sz w:val="32"/>
          <w:szCs w:val="32"/>
          <w:lang w:val="zh-CN"/>
        </w:rPr>
      </w:pPr>
    </w:p>
    <w:p>
      <w:pPr>
        <w:spacing w:line="580" w:lineRule="exact"/>
        <w:ind w:firstLineChars="200" w:firstLine="640"/>
        <w:rPr>
          <w:rFonts w:ascii="仿宋_GB2312" w:eastAsia="仿宋_GB2312" w:cs="仿宋_GB2312"/>
          <w:sz w:val="32"/>
          <w:szCs w:val="32"/>
        </w:rPr>
      </w:pPr>
    </w:p>
    <w:p>
      <w:pPr>
        <w:widowControl/>
        <w:jc w:val="left"/>
        <w:rPr>
          <w:rFonts w:ascii="仿宋_GB2312" w:eastAsia="仿宋_GB2312" w:cs="仿宋_GB2312"/>
          <w:sz w:val="32"/>
          <w:szCs w:val="32"/>
        </w:rPr>
      </w:pPr>
      <w:r>
        <w:rPr>
          <w:rFonts w:ascii="仿宋_GB2312" w:eastAsia="仿宋_GB2312" w:cs="仿宋_GB2312"/>
          <w:sz w:val="32"/>
          <w:szCs w:val="32"/>
        </w:rPr>
        <w:br w:type="page"/>
      </w:r>
    </w:p>
    <w:p>
      <w:pPr>
        <w:pStyle w:val="2"/>
      </w:pPr>
      <w:bookmarkStart w:id="86" w:name="_Toc20972"/>
      <w:r>
        <w:rPr>
          <w:rFonts w:hint="eastAsia"/>
        </w:rPr>
        <w:t>附件2</w:t>
      </w:r>
      <w:bookmarkEnd w:id="86"/>
    </w:p>
    <w:p>
      <w:pPr>
        <w:spacing w:line="580" w:lineRule="exact"/>
        <w:jc w:val="center"/>
        <w:rPr>
          <w:rFonts w:ascii="黑体" w:eastAsia="黑体" w:cs="方正小标宋简体"/>
          <w:sz w:val="44"/>
          <w:szCs w:val="44"/>
        </w:rPr>
      </w:pPr>
      <w:r>
        <w:rPr>
          <w:rFonts w:ascii="黑体" w:eastAsia="黑体" w:cs="方正小标宋简体" w:hint="eastAsia"/>
          <w:sz w:val="44"/>
          <w:szCs w:val="44"/>
        </w:rPr>
        <w:t>2021年全市性宗教团体工作经费</w:t>
      </w:r>
    </w:p>
    <w:p>
      <w:pPr>
        <w:spacing w:line="580" w:lineRule="exact"/>
        <w:jc w:val="center"/>
        <w:rPr>
          <w:rFonts w:ascii="黑体" w:eastAsia="黑体" w:cs="方正小标宋简体"/>
          <w:sz w:val="44"/>
          <w:szCs w:val="44"/>
        </w:rPr>
      </w:pPr>
      <w:r>
        <w:rPr>
          <w:rFonts w:ascii="黑体" w:eastAsia="黑体" w:cs="方正小标宋简体" w:hint="eastAsia"/>
          <w:sz w:val="44"/>
          <w:szCs w:val="44"/>
        </w:rPr>
        <w:t>项目支出绩效评价报告</w:t>
      </w: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黑体" w:eastAsia="黑体" w:cs="仿宋_GB2312"/>
          <w:sz w:val="32"/>
          <w:szCs w:val="32"/>
        </w:rPr>
      </w:pPr>
      <w:r>
        <w:rPr>
          <w:rFonts w:ascii="黑体" w:eastAsia="黑体" w:cs="仿宋_GB2312" w:hint="eastAsia"/>
          <w:sz w:val="32"/>
          <w:szCs w:val="32"/>
        </w:rPr>
        <w:t>一</w:t>
      </w:r>
      <w:r>
        <w:rPr>
          <w:rFonts w:ascii="黑体" w:eastAsia="黑体" w:cs="仿宋_GB2312"/>
          <w:sz w:val="32"/>
          <w:szCs w:val="32"/>
        </w:rPr>
        <w:t>、</w:t>
      </w:r>
      <w:r>
        <w:rPr>
          <w:rFonts w:ascii="黑体" w:eastAsia="黑体" w:cs="仿宋_GB2312" w:hint="eastAsia"/>
          <w:sz w:val="32"/>
          <w:szCs w:val="32"/>
        </w:rPr>
        <w:t>项目</w:t>
      </w:r>
      <w:r>
        <w:rPr>
          <w:rFonts w:ascii="黑体" w:eastAsia="黑体" w:cs="仿宋_GB2312"/>
          <w:sz w:val="32"/>
          <w:szCs w:val="32"/>
        </w:rPr>
        <w:t>概况</w:t>
      </w:r>
    </w:p>
    <w:p>
      <w:pPr>
        <w:spacing w:line="580" w:lineRule="exact"/>
        <w:ind w:firstLineChars="200" w:firstLine="640"/>
        <w:rPr>
          <w:rFonts w:ascii="楷体" w:eastAsia="楷体" w:cs="仿宋_GB2312"/>
          <w:b/>
          <w:sz w:val="32"/>
          <w:szCs w:val="32"/>
        </w:rPr>
      </w:pPr>
      <w:r>
        <w:rPr>
          <w:rFonts w:ascii="楷体" w:eastAsia="楷体" w:cs="仿宋_GB2312"/>
          <w:b/>
          <w:sz w:val="32"/>
          <w:szCs w:val="32"/>
        </w:rPr>
        <w:t>（一）</w:t>
      </w:r>
      <w:r>
        <w:rPr>
          <w:rFonts w:ascii="楷体" w:eastAsia="楷体" w:cs="仿宋_GB2312" w:hint="eastAsia"/>
          <w:b/>
          <w:sz w:val="32"/>
          <w:szCs w:val="32"/>
        </w:rPr>
        <w:t>项目</w:t>
      </w:r>
      <w:r>
        <w:rPr>
          <w:rFonts w:ascii="楷体" w:eastAsia="楷体" w:cs="仿宋_GB2312"/>
          <w:b/>
          <w:sz w:val="32"/>
          <w:szCs w:val="32"/>
        </w:rPr>
        <w:t>基本情况</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1.项目主管部门（单位）在该项目管理中的职能</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我委依法保护公民宗教信仰自由和正常的宗教活动，维护宗教界合法权益，支持宗教团体加强自身建设。我市各全市性宗教团体在引导信教群众维护民族团结、宗教和顺、社会稳定，为全面建设幸福美丽攀枝花有积极贡献，但各全市性宗教团体的自养能力较差，日常办公及业务工作开展经费紧张，需对各全市性宗教团体给予一定金额工作经费补助，解决各全市性宗教团体办公及业务工作开展中的一些实际困难。</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2.项目立项、资金申报的依据</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根据中央、省相关文件精神和《中共攀枝花市委 攀枝花市人民政府关于切实加强和改进新形势下宗教工作的实施意见》中：“加强党委的领导，落实主体责任。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3.资金管理办法制定情况，资金支持具体项目的条件、范围与支持方式概况。</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根据我市各全市性宗教团体实际情况初步确定各全市性宗教团体工作经费发放标准，报委党组会审议，审议通过后按照《攀枝花市全市性宗教团体工作经费使用范围》要求，对经费使用情况进行监督管理，确保工作经费落到实处，取得实效。</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4.资金分配的原则及考虑因素。</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通过对各全市性宗教团体给予一定金额工作经费补助，解决各全市性宗教团体办公及业务工作开展中的一些实际困难，进一步加强我市各全市性宗教团体的组织、思想、制度等建设，充分发挥各宗教团体桥梁纽带作用，对维持我市宗教界和谐稳定具有重大积极作用。</w:t>
      </w:r>
    </w:p>
    <w:p>
      <w:pPr>
        <w:spacing w:line="580" w:lineRule="exact"/>
        <w:ind w:firstLineChars="200" w:firstLine="640"/>
        <w:rPr>
          <w:rFonts w:ascii="楷体" w:eastAsia="楷体" w:cs="仿宋_GB2312"/>
          <w:b/>
          <w:sz w:val="32"/>
          <w:szCs w:val="32"/>
        </w:rPr>
      </w:pPr>
      <w:r>
        <w:rPr>
          <w:rFonts w:ascii="楷体" w:eastAsia="楷体" w:cs="仿宋_GB2312"/>
          <w:b/>
          <w:sz w:val="32"/>
          <w:szCs w:val="32"/>
        </w:rPr>
        <w:t>（二）</w:t>
      </w:r>
      <w:r>
        <w:rPr>
          <w:rFonts w:ascii="楷体" w:eastAsia="楷体" w:cs="仿宋_GB2312" w:hint="eastAsia"/>
          <w:b/>
          <w:sz w:val="32"/>
          <w:szCs w:val="32"/>
        </w:rPr>
        <w:t>项目绩效目标</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1.项目主要内容。</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通过对各全市性宗教团体给予一定金额工作经费补助，解决各全市性宗教团体办公及业务工作开展中的一些实际困难，进一步加强我市各全市性宗教团体的组织、思想、制度等建设，充分发挥各宗教团体桥梁纽带作用，对维持我市宗教界和谐稳定具有重大积极作用。</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2.项目应实现的具体绩效目标</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市伊斯兰教协会工作经费7万元、市佛教协会工作经费6万元、市天主教爱国会工作经费6万元、市基督教三自爱国运动委员会工作经费6万元，合计25万元。进一步加强我市各全市性宗教团体的组织、思想、制度等建设，充分发挥各宗教团体桥梁纽带作用，对维持我市宗教界和谐稳定具有重大积极作用。</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3.分析评价申报内容是否与实际相符，申报目标是否合理可行。</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项目分析评价均来源项目实际情况，与实际相符，目标合理可行。</w:t>
      </w:r>
    </w:p>
    <w:p>
      <w:pPr>
        <w:spacing w:line="580" w:lineRule="exact"/>
        <w:ind w:firstLineChars="200" w:firstLine="640"/>
        <w:rPr>
          <w:rFonts w:ascii="楷体" w:eastAsia="楷体" w:cs="仿宋_GB2312"/>
          <w:b/>
          <w:sz w:val="32"/>
          <w:szCs w:val="32"/>
        </w:rPr>
      </w:pPr>
      <w:r>
        <w:rPr>
          <w:rFonts w:ascii="楷体" w:eastAsia="楷体" w:cs="仿宋_GB2312"/>
          <w:b/>
          <w:sz w:val="32"/>
          <w:szCs w:val="32"/>
        </w:rPr>
        <w:t>（</w:t>
      </w:r>
      <w:r>
        <w:rPr>
          <w:rFonts w:ascii="楷体" w:eastAsia="楷体" w:cs="仿宋_GB2312" w:hint="eastAsia"/>
          <w:b/>
          <w:sz w:val="32"/>
          <w:szCs w:val="32"/>
        </w:rPr>
        <w:t>三</w:t>
      </w:r>
      <w:r>
        <w:rPr>
          <w:rFonts w:ascii="楷体" w:eastAsia="楷体" w:cs="仿宋_GB2312"/>
          <w:b/>
          <w:sz w:val="32"/>
          <w:szCs w:val="32"/>
        </w:rPr>
        <w:t>）</w:t>
      </w:r>
      <w:r>
        <w:rPr>
          <w:rFonts w:ascii="楷体" w:eastAsia="楷体" w:cs="仿宋_GB2312" w:hint="eastAsia"/>
          <w:b/>
          <w:sz w:val="32"/>
          <w:szCs w:val="32"/>
        </w:rPr>
        <w:t>项目自评步骤及方法</w:t>
      </w:r>
    </w:p>
    <w:p>
      <w:pPr>
        <w:spacing w:line="580" w:lineRule="exact"/>
        <w:ind w:firstLineChars="200" w:firstLine="640"/>
        <w:rPr>
          <w:rFonts w:ascii="仿宋" w:eastAsia="仿宋" w:cs="仿宋_GB2312"/>
          <w:sz w:val="32"/>
          <w:szCs w:val="32"/>
        </w:rPr>
      </w:pPr>
      <w:r>
        <w:rPr>
          <w:rFonts w:ascii="仿宋" w:eastAsia="仿宋" w:cs="仿宋_GB2312"/>
          <w:sz w:val="32"/>
          <w:szCs w:val="32"/>
        </w:rPr>
        <w:t>项目通过年初</w:t>
      </w:r>
      <w:r>
        <w:rPr>
          <w:rFonts w:ascii="仿宋" w:eastAsia="仿宋" w:cs="仿宋_GB2312" w:hint="eastAsia"/>
          <w:sz w:val="32"/>
          <w:szCs w:val="32"/>
        </w:rPr>
        <w:t>预算事前绩效评估，对项目编制了绩效目标，预算执行过程中，年中对该项目开展了事中绩效监控，年终执行完毕后，对该项目开展了绩效目标完成情况梳理，填写项目支出绩效评价得分表，并进行了绩效分析，找出存在问题并进行整改。</w:t>
      </w:r>
    </w:p>
    <w:p>
      <w:pPr>
        <w:adjustRightInd w:val="0"/>
        <w:snapToGrid w:val="0"/>
        <w:spacing w:line="600" w:lineRule="exact"/>
        <w:ind w:firstLine="720"/>
        <w:rPr>
          <w:rFonts w:ascii="黑体" w:eastAsia="黑体" w:cs="仿宋_GB2312"/>
          <w:sz w:val="32"/>
          <w:szCs w:val="32"/>
        </w:rPr>
      </w:pPr>
      <w:r>
        <w:rPr>
          <w:rFonts w:ascii="黑体" w:eastAsia="黑体" w:cs="仿宋_GB2312" w:hint="eastAsia"/>
          <w:sz w:val="32"/>
          <w:szCs w:val="32"/>
        </w:rPr>
        <w:t>二、项目资金申报及使用情况</w:t>
      </w:r>
    </w:p>
    <w:p>
      <w:pPr>
        <w:spacing w:line="580" w:lineRule="exact"/>
        <w:ind w:firstLineChars="200" w:firstLine="640"/>
        <w:rPr>
          <w:rFonts w:ascii="楷体" w:eastAsia="楷体" w:cs="仿宋_GB2312"/>
          <w:b/>
          <w:sz w:val="32"/>
          <w:szCs w:val="32"/>
        </w:rPr>
      </w:pPr>
      <w:r>
        <w:rPr>
          <w:rFonts w:ascii="楷体" w:eastAsia="楷体" w:cs="仿宋_GB2312"/>
          <w:b/>
          <w:sz w:val="32"/>
          <w:szCs w:val="32"/>
        </w:rPr>
        <w:t>（一）</w:t>
      </w:r>
      <w:r>
        <w:rPr>
          <w:rFonts w:ascii="楷体" w:eastAsia="楷体" w:cs="仿宋_GB2312" w:hint="eastAsia"/>
          <w:b/>
          <w:sz w:val="32"/>
          <w:szCs w:val="32"/>
        </w:rPr>
        <w:t>项目资金申报及批复情况</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项目为年初预算项目，经年初预算申报，财政审批后，批复了《关于202</w:t>
      </w:r>
      <w:r>
        <w:rPr>
          <w:rFonts w:ascii="仿宋" w:eastAsia="仿宋" w:cs="仿宋_GB2312"/>
          <w:sz w:val="32"/>
          <w:szCs w:val="32"/>
        </w:rPr>
        <w:t>1</w:t>
      </w:r>
      <w:r>
        <w:rPr>
          <w:rFonts w:ascii="仿宋" w:eastAsia="仿宋" w:cs="仿宋_GB2312" w:hint="eastAsia"/>
          <w:sz w:val="32"/>
          <w:szCs w:val="32"/>
        </w:rPr>
        <w:t>年市级部门预算的批复》（攀财资预〔202</w:t>
      </w:r>
      <w:r>
        <w:rPr>
          <w:rFonts w:ascii="仿宋" w:eastAsia="仿宋" w:cs="仿宋_GB2312"/>
          <w:sz w:val="32"/>
          <w:szCs w:val="32"/>
        </w:rPr>
        <w:t>1</w:t>
      </w:r>
      <w:r>
        <w:rPr>
          <w:rFonts w:ascii="仿宋" w:eastAsia="仿宋" w:cs="仿宋_GB2312" w:hint="eastAsia"/>
          <w:sz w:val="32"/>
          <w:szCs w:val="32"/>
        </w:rPr>
        <w:t>〕1号），申报25万元，批复25万元。</w:t>
      </w:r>
    </w:p>
    <w:p>
      <w:pPr>
        <w:spacing w:line="580" w:lineRule="exact"/>
        <w:ind w:firstLineChars="200" w:firstLine="640"/>
        <w:rPr>
          <w:rFonts w:ascii="楷体" w:eastAsia="楷体" w:cs="仿宋_GB2312"/>
          <w:b/>
          <w:sz w:val="32"/>
          <w:szCs w:val="32"/>
        </w:rPr>
      </w:pPr>
      <w:r>
        <w:rPr>
          <w:rFonts w:ascii="楷体" w:eastAsia="楷体" w:cs="仿宋_GB2312" w:hint="eastAsia"/>
          <w:b/>
          <w:sz w:val="32"/>
          <w:szCs w:val="32"/>
        </w:rPr>
        <w:t>（二）资金计划、到位及使用情况</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1.资金计划。项目计划202</w:t>
      </w:r>
      <w:r>
        <w:rPr>
          <w:rFonts w:ascii="仿宋" w:eastAsia="仿宋" w:cs="仿宋_GB2312"/>
          <w:sz w:val="32"/>
          <w:szCs w:val="32"/>
        </w:rPr>
        <w:t>1</w:t>
      </w:r>
      <w:r>
        <w:rPr>
          <w:rFonts w:ascii="仿宋" w:eastAsia="仿宋" w:cs="仿宋_GB2312" w:hint="eastAsia"/>
          <w:sz w:val="32"/>
          <w:szCs w:val="32"/>
        </w:rPr>
        <w:t>年拨付25万元，均为市级财政资金。</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2.资金到位。市级财政资金到位25万元。</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3.资金使用。202</w:t>
      </w:r>
      <w:r>
        <w:rPr>
          <w:rFonts w:ascii="仿宋" w:eastAsia="仿宋" w:cs="仿宋_GB2312"/>
          <w:sz w:val="32"/>
          <w:szCs w:val="32"/>
        </w:rPr>
        <w:t>1</w:t>
      </w:r>
      <w:r>
        <w:rPr>
          <w:rFonts w:ascii="仿宋" w:eastAsia="仿宋" w:cs="仿宋_GB2312" w:hint="eastAsia"/>
          <w:sz w:val="32"/>
          <w:szCs w:val="32"/>
        </w:rPr>
        <w:t>年该笔项目资金实际拨付市伊斯兰教协会工作经费7万元、市佛教协会工作经费6万元、市天主教爱国会工作经费6万元、市基督教三自爱国运动委员会工作经费6万元，合计25万元。与预算相符。</w:t>
      </w:r>
    </w:p>
    <w:p>
      <w:pPr>
        <w:spacing w:line="580" w:lineRule="exact"/>
        <w:ind w:firstLineChars="200" w:firstLine="640"/>
        <w:rPr>
          <w:rFonts w:ascii="楷体" w:eastAsia="楷体" w:cs="仿宋_GB2312"/>
          <w:b/>
          <w:sz w:val="32"/>
          <w:szCs w:val="32"/>
        </w:rPr>
      </w:pPr>
      <w:r>
        <w:rPr>
          <w:rFonts w:ascii="楷体" w:eastAsia="楷体" w:cs="仿宋_GB2312"/>
          <w:b/>
          <w:sz w:val="32"/>
          <w:szCs w:val="32"/>
        </w:rPr>
        <w:t>（三）</w:t>
      </w:r>
      <w:r>
        <w:rPr>
          <w:rFonts w:ascii="楷体" w:eastAsia="楷体" w:cs="仿宋_GB2312" w:hint="eastAsia"/>
          <w:b/>
          <w:sz w:val="32"/>
          <w:szCs w:val="32"/>
        </w:rPr>
        <w:t>项目财务管理情况。</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单位财务管理制度健全，严格执行财务管理制度，账务处理及时，会计核算规范。</w:t>
      </w:r>
    </w:p>
    <w:p>
      <w:pPr>
        <w:adjustRightInd w:val="0"/>
        <w:snapToGrid w:val="0"/>
        <w:spacing w:line="600" w:lineRule="exact"/>
        <w:ind w:firstLine="720"/>
        <w:rPr>
          <w:rFonts w:ascii="黑体" w:eastAsia="黑体" w:cs="仿宋_GB2312"/>
          <w:sz w:val="32"/>
          <w:szCs w:val="32"/>
        </w:rPr>
      </w:pPr>
      <w:r>
        <w:rPr>
          <w:rFonts w:ascii="黑体" w:eastAsia="黑体" w:cs="仿宋_GB2312" w:hint="eastAsia"/>
          <w:sz w:val="32"/>
          <w:szCs w:val="32"/>
        </w:rPr>
        <w:t>三、项目实施及管理情况</w:t>
      </w:r>
    </w:p>
    <w:p>
      <w:pPr>
        <w:adjustRightInd w:val="0"/>
        <w:snapToGrid w:val="0"/>
        <w:spacing w:line="600" w:lineRule="exact"/>
        <w:ind w:firstLine="720"/>
        <w:rPr>
          <w:rFonts w:ascii="楷体_GB2312" w:eastAsia="楷体_GB2312"/>
          <w:b/>
          <w:sz w:val="32"/>
          <w:szCs w:val="32"/>
          <w:lang w:val="zh-CN"/>
        </w:rPr>
      </w:pPr>
      <w:r>
        <w:rPr>
          <w:rFonts w:ascii="楷体" w:eastAsia="楷体" w:cs="仿宋_GB2312" w:hint="eastAsia"/>
          <w:b/>
          <w:sz w:val="32"/>
          <w:szCs w:val="32"/>
        </w:rPr>
        <w:t>（一）项目组织架构及实施流程。</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根据我市各全市性宗教团体实际情况初步确定各全市性宗教团体工作经费发放标准，报委党组会审议，审议通过后按照《攀枝花市全市性宗教团体工作经费使用范围》要求，确定资金拨付分配方案。</w:t>
      </w:r>
    </w:p>
    <w:p>
      <w:pPr>
        <w:spacing w:line="580" w:lineRule="exact"/>
        <w:ind w:firstLineChars="200" w:firstLine="640"/>
        <w:rPr>
          <w:rFonts w:ascii="楷体" w:eastAsia="楷体" w:cs="仿宋_GB2312"/>
          <w:b/>
          <w:sz w:val="32"/>
          <w:szCs w:val="32"/>
        </w:rPr>
      </w:pPr>
      <w:r>
        <w:rPr>
          <w:rFonts w:ascii="楷体" w:eastAsia="楷体" w:cs="仿宋_GB2312" w:hint="eastAsia"/>
          <w:b/>
          <w:sz w:val="32"/>
          <w:szCs w:val="32"/>
        </w:rPr>
        <w:t>（二）项目管理情况。</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该笔项目资金实际拨付市伊斯兰教协会工作经费7万元、市佛教协会工作经费6万元、市天主教爱国会工作经费6万元、市基督教三自爱国运动委员会工作经费6万元，合计25万元。对各团体协会下发了《攀枝花市全市性宗教团体工作经费使用范围》，并要求各单位严格按相关要求使用资金。</w:t>
      </w:r>
    </w:p>
    <w:p>
      <w:pPr>
        <w:spacing w:line="580" w:lineRule="exact"/>
        <w:ind w:firstLineChars="200" w:firstLine="640"/>
        <w:rPr>
          <w:rFonts w:ascii="楷体" w:eastAsia="楷体" w:cs="仿宋_GB2312"/>
          <w:b/>
          <w:sz w:val="32"/>
          <w:szCs w:val="32"/>
        </w:rPr>
      </w:pPr>
      <w:r>
        <w:rPr>
          <w:rFonts w:ascii="楷体" w:eastAsia="楷体" w:cs="仿宋_GB2312" w:hint="eastAsia"/>
          <w:b/>
          <w:sz w:val="32"/>
          <w:szCs w:val="32"/>
        </w:rPr>
        <w:t>（三）项目监管情况。</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对经费使用情况进行了定时不定时的监督管理，确保工作经费落到实处，取得实效。</w:t>
      </w:r>
    </w:p>
    <w:p>
      <w:pPr>
        <w:adjustRightInd w:val="0"/>
        <w:snapToGrid w:val="0"/>
        <w:spacing w:line="600" w:lineRule="exact"/>
        <w:ind w:firstLineChars="200" w:firstLine="640"/>
        <w:rPr>
          <w:rFonts w:ascii="仿宋_GB2312" w:eastAsia="仿宋_GB2312"/>
          <w:sz w:val="32"/>
          <w:szCs w:val="32"/>
          <w:lang w:val="zh-CN"/>
        </w:rPr>
      </w:pPr>
      <w:r>
        <w:rPr>
          <w:rFonts w:ascii="黑体" w:eastAsia="黑体" w:hint="eastAsia"/>
          <w:sz w:val="32"/>
          <w:szCs w:val="32"/>
        </w:rPr>
        <w:t>四、项目绩效情况</w:t>
      </w:r>
      <w:r>
        <w:rPr>
          <w:rFonts w:ascii="仿宋_GB2312" w:eastAsia="仿宋_GB2312"/>
          <w:sz w:val="32"/>
          <w:szCs w:val="32"/>
          <w:lang w:val="zh-CN"/>
        </w:rPr>
        <w:tab/>
      </w:r>
    </w:p>
    <w:p>
      <w:pPr>
        <w:adjustRightInd w:val="0"/>
        <w:snapToGrid w:val="0"/>
        <w:spacing w:line="600" w:lineRule="exact"/>
        <w:ind w:left="640"/>
        <w:rPr>
          <w:rFonts w:ascii="仿宋_GB2312" w:eastAsia="仿宋_GB2312"/>
          <w:sz w:val="32"/>
          <w:szCs w:val="32"/>
          <w:lang w:val="zh-CN"/>
        </w:rPr>
      </w:pPr>
      <w:r>
        <w:rPr>
          <w:rFonts w:ascii="楷体" w:eastAsia="楷体" w:cs="仿宋_GB2312" w:hint="eastAsia"/>
          <w:b/>
          <w:sz w:val="32"/>
          <w:szCs w:val="32"/>
        </w:rPr>
        <w:t>（一）项目完成情况</w:t>
      </w:r>
    </w:p>
    <w:p>
      <w:pPr>
        <w:adjustRightInd w:val="0"/>
        <w:snapToGrid w:val="0"/>
        <w:spacing w:line="600" w:lineRule="exact"/>
        <w:ind w:firstLineChars="200" w:firstLine="640"/>
        <w:rPr>
          <w:rFonts w:ascii="仿宋_GB2312" w:eastAsia="仿宋_GB2312"/>
          <w:sz w:val="32"/>
          <w:szCs w:val="32"/>
          <w:lang w:val="zh-CN"/>
        </w:rPr>
      </w:pPr>
      <w:r>
        <w:rPr>
          <w:rFonts w:ascii="仿宋" w:eastAsia="仿宋" w:cs="仿宋_GB2312" w:hint="eastAsia"/>
          <w:sz w:val="32"/>
          <w:szCs w:val="32"/>
        </w:rPr>
        <w:t>市伊斯兰教协会工作经费7万元、市佛教协会工作经费6万元、市天主教爱国会工作经费6万元、市基督教三自爱国运动委员会工作经费6万元，合计25万元。进一步加强我市各全市性宗教团体的组织、思想、制度等建设，充分发挥各宗教团体桥梁纽带作用，对维持我市宗教界和谐稳定具有重大积极作用。</w:t>
      </w:r>
    </w:p>
    <w:p>
      <w:pPr>
        <w:adjustRightInd w:val="0"/>
        <w:snapToGrid w:val="0"/>
        <w:spacing w:line="600" w:lineRule="exact"/>
        <w:ind w:firstLine="720"/>
        <w:rPr>
          <w:rFonts w:ascii="楷体" w:eastAsia="楷体" w:cs="仿宋_GB2312"/>
          <w:b/>
          <w:sz w:val="32"/>
          <w:szCs w:val="32"/>
        </w:rPr>
      </w:pPr>
      <w:r>
        <w:rPr>
          <w:rFonts w:ascii="楷体" w:eastAsia="楷体" w:cs="仿宋_GB2312" w:hint="eastAsia"/>
          <w:b/>
          <w:sz w:val="32"/>
          <w:szCs w:val="32"/>
        </w:rPr>
        <w:t>（二）项目效益情况</w:t>
      </w:r>
    </w:p>
    <w:p>
      <w:pPr>
        <w:adjustRightInd w:val="0"/>
        <w:snapToGrid w:val="0"/>
        <w:spacing w:line="600" w:lineRule="exact"/>
        <w:ind w:firstLine="720"/>
        <w:rPr>
          <w:rFonts w:ascii="仿宋" w:eastAsia="仿宋" w:cs="仿宋_GB2312"/>
          <w:sz w:val="32"/>
          <w:szCs w:val="32"/>
        </w:rPr>
      </w:pPr>
      <w:r>
        <w:rPr>
          <w:rFonts w:ascii="仿宋" w:eastAsia="仿宋" w:hint="eastAsia"/>
          <w:sz w:val="32"/>
          <w:szCs w:val="32"/>
        </w:rPr>
        <w:t>该项目于202</w:t>
      </w:r>
      <w:r>
        <w:rPr>
          <w:rFonts w:ascii="仿宋" w:eastAsia="仿宋"/>
          <w:sz w:val="32"/>
          <w:szCs w:val="32"/>
        </w:rPr>
        <w:t>1</w:t>
      </w:r>
      <w:r>
        <w:rPr>
          <w:rFonts w:ascii="仿宋" w:eastAsia="仿宋" w:hint="eastAsia"/>
          <w:sz w:val="32"/>
          <w:szCs w:val="32"/>
        </w:rPr>
        <w:t>年12月前全面完成。绩效指标达到了预期设定的目标值，绩效目标完成较好。该项目的实施</w:t>
      </w:r>
      <w:r>
        <w:rPr>
          <w:rFonts w:ascii="仿宋" w:eastAsia="仿宋" w:cs="宋体" w:hint="eastAsia"/>
          <w:color w:val="000000"/>
          <w:sz w:val="32"/>
          <w:szCs w:val="32"/>
        </w:rPr>
        <w:t>保障了全市宗教团体必要的工作经费，</w:t>
      </w:r>
      <w:r>
        <w:rPr>
          <w:rFonts w:ascii="仿宋" w:eastAsia="仿宋" w:cs="仿宋_GB2312" w:hint="eastAsia"/>
          <w:sz w:val="32"/>
          <w:szCs w:val="32"/>
        </w:rPr>
        <w:t>落实了党的宗教政策，</w:t>
      </w:r>
      <w:r>
        <w:rPr>
          <w:rFonts w:ascii="仿宋" w:eastAsia="仿宋" w:hint="eastAsia"/>
          <w:sz w:val="32"/>
          <w:szCs w:val="32"/>
        </w:rPr>
        <w:t>团结、争取、教育宗教界人士和广大信教群众，</w:t>
      </w:r>
      <w:r>
        <w:rPr>
          <w:rFonts w:ascii="仿宋" w:eastAsia="仿宋" w:cs="仿宋_GB2312" w:hint="eastAsia"/>
          <w:sz w:val="32"/>
          <w:szCs w:val="32"/>
        </w:rPr>
        <w:t xml:space="preserve"> 该项目满意度测评，宗教界人士达满意及以上。</w:t>
      </w:r>
    </w:p>
    <w:p>
      <w:pPr>
        <w:adjustRightInd w:val="0"/>
        <w:snapToGrid w:val="0"/>
        <w:spacing w:line="600" w:lineRule="exact"/>
        <w:ind w:firstLine="720"/>
        <w:rPr>
          <w:rFonts w:ascii="黑体" w:eastAsia="黑体"/>
          <w:sz w:val="32"/>
          <w:szCs w:val="32"/>
        </w:rPr>
      </w:pPr>
      <w:r>
        <w:rPr>
          <w:rFonts w:ascii="黑体" w:eastAsia="黑体" w:hint="eastAsia"/>
          <w:sz w:val="32"/>
          <w:szCs w:val="32"/>
        </w:rPr>
        <w:t>五、评价结论及建议</w:t>
      </w:r>
    </w:p>
    <w:p>
      <w:pPr>
        <w:spacing w:line="580" w:lineRule="exact"/>
        <w:ind w:firstLineChars="200" w:firstLine="640"/>
        <w:rPr>
          <w:rFonts w:ascii="楷体" w:eastAsia="楷体" w:cs="仿宋_GB2312"/>
          <w:b/>
          <w:sz w:val="32"/>
          <w:szCs w:val="32"/>
        </w:rPr>
      </w:pPr>
      <w:r>
        <w:rPr>
          <w:rFonts w:ascii="楷体" w:eastAsia="楷体" w:cs="仿宋_GB2312"/>
          <w:b/>
          <w:sz w:val="32"/>
          <w:szCs w:val="32"/>
        </w:rPr>
        <w:t>（一）评价结论</w:t>
      </w:r>
    </w:p>
    <w:p>
      <w:pPr>
        <w:spacing w:line="640" w:lineRule="exact"/>
        <w:ind w:firstLineChars="200" w:firstLine="640"/>
        <w:rPr>
          <w:rFonts w:ascii="仿宋" w:eastAsia="仿宋"/>
          <w:sz w:val="32"/>
          <w:szCs w:val="32"/>
        </w:rPr>
      </w:pPr>
      <w:r>
        <w:rPr>
          <w:rFonts w:ascii="仿宋" w:eastAsia="仿宋" w:hint="eastAsia"/>
          <w:sz w:val="32"/>
          <w:szCs w:val="32"/>
        </w:rPr>
        <w:t>本部门对</w:t>
      </w:r>
      <w:r>
        <w:rPr>
          <w:rFonts w:ascii="仿宋" w:eastAsia="仿宋" w:cs="宋体" w:hint="eastAsia"/>
          <w:color w:val="000000"/>
          <w:sz w:val="32"/>
          <w:szCs w:val="32"/>
        </w:rPr>
        <w:t>全市性宗教团体工作经费</w:t>
      </w:r>
      <w:r>
        <w:rPr>
          <w:rFonts w:ascii="仿宋" w:eastAsia="仿宋" w:hint="eastAsia"/>
          <w:sz w:val="32"/>
          <w:szCs w:val="32"/>
        </w:rPr>
        <w:t>项目开展了绩效评价，得分为96分，项目总体完成较好，项目做到专项专用。</w:t>
      </w:r>
    </w:p>
    <w:p>
      <w:pPr>
        <w:spacing w:line="640" w:lineRule="exact"/>
        <w:jc w:val="center"/>
        <w:rPr>
          <w:rFonts w:ascii="黑体" w:eastAsia="黑体"/>
          <w:sz w:val="32"/>
          <w:szCs w:val="32"/>
        </w:rPr>
      </w:pPr>
      <w:r>
        <w:rPr>
          <w:rFonts w:ascii="黑体" w:eastAsia="黑体" w:hint="eastAsia"/>
          <w:sz w:val="32"/>
          <w:szCs w:val="32"/>
        </w:rPr>
        <w:t>202</w:t>
      </w:r>
      <w:r>
        <w:rPr>
          <w:rFonts w:ascii="黑体" w:eastAsia="黑体"/>
          <w:sz w:val="32"/>
          <w:szCs w:val="32"/>
        </w:rPr>
        <w:t>1</w:t>
      </w:r>
      <w:r>
        <w:rPr>
          <w:rFonts w:ascii="黑体" w:eastAsia="黑体" w:hint="eastAsia"/>
          <w:sz w:val="32"/>
          <w:szCs w:val="32"/>
        </w:rPr>
        <w:t>年项目支出绩效评价得分表</w:t>
      </w:r>
    </w:p>
    <w:tbl>
      <w:tblPr>
        <w:jc w:val="center"/>
        <w:tblW w:w="8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3"/>
        <w:gridCol w:w="1640"/>
        <w:gridCol w:w="3494"/>
        <w:gridCol w:w="1297"/>
        <w:gridCol w:w="748"/>
      </w:tblGrid>
      <w:tr>
        <w:trPr>
          <w:trHeight w:val="123"/>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80" w:lineRule="exact"/>
              <w:rPr>
                <w:rFonts w:ascii="宋体" w:cs="宋体"/>
                <w:b/>
                <w:bCs/>
                <w:kern w:val="0"/>
                <w:sz w:val="20"/>
                <w:szCs w:val="20"/>
              </w:rPr>
            </w:pPr>
            <w:r>
              <w:rPr>
                <w:rFonts w:ascii="宋体" w:cs="宋体" w:hint="eastAsia"/>
                <w:b/>
                <w:bCs/>
                <w:kern w:val="0"/>
                <w:sz w:val="20"/>
                <w:szCs w:val="20"/>
              </w:rPr>
              <w:t>单位名称/</w:t>
            </w:r>
          </w:p>
          <w:p>
            <w:pPr>
              <w:widowControl/>
              <w:spacing w:line="280" w:lineRule="exact"/>
              <w:rPr>
                <w:rFonts w:ascii="宋体" w:cs="宋体"/>
                <w:b/>
                <w:bCs/>
                <w:kern w:val="0"/>
                <w:sz w:val="20"/>
                <w:szCs w:val="20"/>
              </w:rPr>
            </w:pPr>
            <w:r>
              <w:rPr>
                <w:rFonts w:ascii="宋体" w:cs="宋体" w:hint="eastAsia"/>
                <w:b/>
                <w:bCs/>
                <w:kern w:val="0"/>
                <w:sz w:val="20"/>
                <w:szCs w:val="20"/>
              </w:rPr>
              <w:t>项目名称</w:t>
            </w:r>
          </w:p>
        </w:tc>
        <w:tc>
          <w:tcPr>
            <w:tcW w:w="717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80" w:lineRule="exact"/>
              <w:rPr>
                <w:rFonts w:ascii="宋体" w:cs="宋体"/>
                <w:b/>
                <w:bCs/>
                <w:kern w:val="0"/>
                <w:sz w:val="28"/>
                <w:szCs w:val="18"/>
              </w:rPr>
            </w:pPr>
            <w:r>
              <w:rPr>
                <w:rFonts w:ascii="宋体" w:cs="宋体" w:hint="eastAsia"/>
                <w:color w:val="000000"/>
                <w:sz w:val="24"/>
              </w:rPr>
              <w:t>全市性宗教团体工作经费</w:t>
            </w:r>
          </w:p>
        </w:tc>
      </w:tr>
      <w:tr>
        <w:trPr>
          <w:trHeight w:val="315"/>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80" w:lineRule="exact"/>
              <w:rPr>
                <w:rFonts w:ascii="宋体" w:cs="宋体"/>
                <w:b/>
                <w:bCs/>
                <w:kern w:val="0"/>
                <w:sz w:val="20"/>
                <w:szCs w:val="20"/>
              </w:rPr>
            </w:pPr>
            <w:r>
              <w:rPr>
                <w:rFonts w:ascii="宋体" w:cs="宋体" w:hint="eastAsia"/>
                <w:b/>
                <w:bCs/>
                <w:kern w:val="0"/>
                <w:sz w:val="20"/>
                <w:szCs w:val="20"/>
              </w:rPr>
              <w:t>一级指标</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80" w:lineRule="exact"/>
              <w:rPr>
                <w:rFonts w:ascii="宋体" w:cs="宋体"/>
                <w:b/>
                <w:bCs/>
                <w:kern w:val="0"/>
                <w:sz w:val="20"/>
                <w:szCs w:val="20"/>
              </w:rPr>
            </w:pPr>
            <w:r>
              <w:rPr>
                <w:rFonts w:ascii="宋体" w:cs="宋体" w:hint="eastAsia"/>
                <w:b/>
                <w:bCs/>
                <w:kern w:val="0"/>
                <w:sz w:val="20"/>
                <w:szCs w:val="20"/>
              </w:rPr>
              <w:t>二级指标</w:t>
            </w:r>
          </w:p>
        </w:tc>
        <w:tc>
          <w:tcPr>
            <w:tcW w:w="3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80" w:lineRule="exact"/>
              <w:rPr>
                <w:rFonts w:ascii="宋体" w:cs="宋体"/>
                <w:b/>
                <w:bCs/>
                <w:kern w:val="0"/>
                <w:sz w:val="20"/>
                <w:szCs w:val="20"/>
              </w:rPr>
            </w:pPr>
            <w:r>
              <w:rPr>
                <w:rFonts w:ascii="宋体" w:cs="宋体" w:hint="eastAsia"/>
                <w:b/>
                <w:bCs/>
                <w:kern w:val="0"/>
                <w:sz w:val="20"/>
                <w:szCs w:val="20"/>
              </w:rPr>
              <w:t>三级指标</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80" w:lineRule="exact"/>
              <w:rPr>
                <w:rFonts w:ascii="宋体" w:cs="宋体"/>
                <w:b/>
                <w:bCs/>
                <w:kern w:val="0"/>
                <w:sz w:val="20"/>
                <w:szCs w:val="20"/>
              </w:rPr>
            </w:pPr>
            <w:r>
              <w:rPr>
                <w:rFonts w:ascii="宋体" w:cs="宋体" w:hint="eastAsia"/>
                <w:b/>
                <w:bCs/>
                <w:kern w:val="0"/>
                <w:sz w:val="20"/>
                <w:szCs w:val="20"/>
              </w:rPr>
              <w:t>分值</w:t>
            </w:r>
          </w:p>
        </w:tc>
        <w:tc>
          <w:tcPr>
            <w:tcW w:w="748" w:type="dxa"/>
            <w:tcBorders>
              <w:top w:val="single" w:sz="4" w:space="0" w:color="auto"/>
              <w:left w:val="single" w:sz="4" w:space="0" w:color="auto"/>
              <w:bottom w:val="single" w:sz="4" w:space="0" w:color="auto"/>
              <w:right w:val="single" w:sz="4" w:space="0" w:color="auto"/>
            </w:tcBorders>
            <w:noWrap/>
            <w:vAlign w:val="center"/>
          </w:tcPr>
          <w:p>
            <w:pPr>
              <w:widowControl/>
              <w:spacing w:line="280" w:lineRule="exact"/>
              <w:rPr>
                <w:rFonts w:ascii="宋体" w:cs="宋体"/>
                <w:b/>
                <w:bCs/>
                <w:kern w:val="0"/>
                <w:sz w:val="18"/>
                <w:szCs w:val="18"/>
              </w:rPr>
            </w:pPr>
            <w:r>
              <w:rPr>
                <w:rFonts w:ascii="宋体" w:cs="宋体" w:hint="eastAsia"/>
                <w:b/>
                <w:bCs/>
                <w:kern w:val="0"/>
                <w:sz w:val="18"/>
                <w:szCs w:val="18"/>
              </w:rPr>
              <w:t>得分</w:t>
            </w:r>
          </w:p>
        </w:tc>
      </w:tr>
      <w:tr>
        <w:trPr>
          <w:trHeight w:val="2"/>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pPr>
              <w:widowControl/>
              <w:spacing w:line="320" w:lineRule="exact"/>
              <w:jc w:val="center"/>
              <w:rPr>
                <w:rFonts w:ascii="宋体" w:cs="宋体"/>
                <w:kern w:val="0"/>
                <w:sz w:val="20"/>
                <w:szCs w:val="20"/>
              </w:rPr>
            </w:pPr>
            <w:r>
              <w:rPr>
                <w:rFonts w:ascii="宋体" w:cs="宋体" w:hint="eastAsia"/>
                <w:kern w:val="0"/>
                <w:sz w:val="20"/>
                <w:szCs w:val="20"/>
              </w:rPr>
              <w:t>（20分）</w:t>
              <w:br/>
              <w:t>项目决策</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pPr>
              <w:widowControl/>
              <w:spacing w:line="220" w:lineRule="exact"/>
              <w:jc w:val="center"/>
              <w:rPr>
                <w:rFonts w:ascii="宋体" w:cs="宋体"/>
                <w:kern w:val="0"/>
                <w:sz w:val="20"/>
                <w:szCs w:val="20"/>
              </w:rPr>
            </w:pPr>
            <w:r>
              <w:rPr>
                <w:rFonts w:ascii="宋体" w:cs="宋体" w:hint="eastAsia"/>
                <w:kern w:val="0"/>
                <w:sz w:val="20"/>
                <w:szCs w:val="20"/>
              </w:rPr>
              <w:t>（10分）</w:t>
              <w:br/>
              <w:t>科学决策</w:t>
            </w:r>
          </w:p>
        </w:tc>
        <w:tc>
          <w:tcPr>
            <w:tcW w:w="3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20" w:lineRule="exact"/>
              <w:rPr>
                <w:rFonts w:ascii="宋体" w:cs="宋体"/>
                <w:kern w:val="0"/>
                <w:sz w:val="20"/>
                <w:szCs w:val="20"/>
              </w:rPr>
            </w:pPr>
            <w:r>
              <w:rPr>
                <w:rFonts w:ascii="宋体" w:cs="宋体" w:hint="eastAsia"/>
                <w:kern w:val="0"/>
                <w:sz w:val="20"/>
                <w:szCs w:val="20"/>
              </w:rPr>
              <w:t>必要性</w:t>
              <w:br/>
              <w:t>（政策依据)</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20" w:lineRule="exact"/>
              <w:rPr>
                <w:rFonts w:ascii="宋体" w:cs="宋体"/>
                <w:kern w:val="0"/>
                <w:sz w:val="20"/>
                <w:szCs w:val="20"/>
              </w:rPr>
            </w:pPr>
            <w:r>
              <w:rPr>
                <w:rFonts w:ascii="宋体" w:cs="宋体" w:hint="eastAsia"/>
                <w:kern w:val="0"/>
                <w:sz w:val="20"/>
                <w:szCs w:val="20"/>
              </w:rPr>
              <w:t>5</w:t>
            </w:r>
          </w:p>
        </w:tc>
        <w:tc>
          <w:tcPr>
            <w:tcW w:w="748" w:type="dxa"/>
            <w:tcBorders>
              <w:top w:val="single" w:sz="4" w:space="0" w:color="auto"/>
              <w:left w:val="single" w:sz="4" w:space="0" w:color="auto"/>
              <w:bottom w:val="single" w:sz="4" w:space="0" w:color="auto"/>
              <w:right w:val="single" w:sz="4" w:space="0" w:color="auto"/>
            </w:tcBorders>
            <w:noWrap/>
          </w:tcPr>
          <w:p>
            <w:pPr>
              <w:widowControl/>
              <w:spacing w:line="220" w:lineRule="exact"/>
              <w:rPr>
                <w:rFonts w:ascii="宋体" w:cs="宋体"/>
                <w:kern w:val="0"/>
                <w:sz w:val="20"/>
                <w:szCs w:val="20"/>
              </w:rPr>
            </w:pPr>
            <w:r>
              <w:rPr>
                <w:rFonts w:ascii="宋体" w:cs="宋体" w:hint="eastAsia"/>
                <w:kern w:val="0"/>
                <w:sz w:val="20"/>
                <w:szCs w:val="20"/>
              </w:rPr>
              <w:t>5</w:t>
            </w:r>
          </w:p>
        </w:tc>
      </w:tr>
      <w:tr>
        <w:trPr>
          <w:trHeight w:val="2"/>
        </w:trPr>
        <w:tc>
          <w:tcPr>
            <w:tcW w:w="1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16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3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20" w:lineRule="exact"/>
              <w:rPr>
                <w:rFonts w:ascii="宋体" w:cs="宋体"/>
                <w:kern w:val="0"/>
                <w:sz w:val="20"/>
                <w:szCs w:val="20"/>
              </w:rPr>
            </w:pPr>
            <w:r>
              <w:rPr>
                <w:rFonts w:ascii="宋体" w:cs="宋体" w:hint="eastAsia"/>
                <w:kern w:val="0"/>
                <w:sz w:val="20"/>
                <w:szCs w:val="20"/>
              </w:rPr>
              <w:t>可行性</w:t>
              <w:br/>
              <w:t>（政策完善）</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20" w:lineRule="exact"/>
              <w:rPr>
                <w:rFonts w:ascii="宋体" w:cs="宋体"/>
                <w:kern w:val="0"/>
                <w:sz w:val="20"/>
                <w:szCs w:val="20"/>
              </w:rPr>
            </w:pPr>
            <w:r>
              <w:rPr>
                <w:rFonts w:ascii="宋体" w:cs="宋体" w:hint="eastAsia"/>
                <w:kern w:val="0"/>
                <w:sz w:val="20"/>
                <w:szCs w:val="20"/>
              </w:rPr>
              <w:t>5</w:t>
            </w:r>
          </w:p>
        </w:tc>
        <w:tc>
          <w:tcPr>
            <w:tcW w:w="748" w:type="dxa"/>
            <w:tcBorders>
              <w:top w:val="single" w:sz="4" w:space="0" w:color="auto"/>
              <w:left w:val="single" w:sz="4" w:space="0" w:color="auto"/>
              <w:bottom w:val="single" w:sz="4" w:space="0" w:color="auto"/>
              <w:right w:val="single" w:sz="4" w:space="0" w:color="auto"/>
            </w:tcBorders>
            <w:noWrap/>
          </w:tcPr>
          <w:p>
            <w:pPr>
              <w:widowControl/>
              <w:spacing w:line="220" w:lineRule="exact"/>
              <w:rPr>
                <w:rFonts w:ascii="宋体" w:cs="宋体"/>
                <w:kern w:val="0"/>
                <w:sz w:val="20"/>
                <w:szCs w:val="20"/>
              </w:rPr>
            </w:pPr>
            <w:r>
              <w:rPr>
                <w:rFonts w:ascii="宋体" w:cs="宋体" w:hint="eastAsia"/>
                <w:kern w:val="0"/>
                <w:sz w:val="20"/>
                <w:szCs w:val="20"/>
              </w:rPr>
              <w:t>5</w:t>
            </w:r>
          </w:p>
        </w:tc>
      </w:tr>
      <w:tr>
        <w:trPr>
          <w:trHeight w:val="77"/>
        </w:trPr>
        <w:tc>
          <w:tcPr>
            <w:tcW w:w="1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pPr>
              <w:widowControl/>
              <w:spacing w:line="320" w:lineRule="exact"/>
              <w:jc w:val="center"/>
              <w:rPr>
                <w:rFonts w:ascii="宋体" w:cs="宋体"/>
                <w:kern w:val="0"/>
                <w:sz w:val="20"/>
                <w:szCs w:val="20"/>
              </w:rPr>
            </w:pPr>
            <w:r>
              <w:rPr>
                <w:rFonts w:ascii="宋体" w:cs="宋体" w:hint="eastAsia"/>
                <w:kern w:val="0"/>
                <w:sz w:val="20"/>
                <w:szCs w:val="20"/>
              </w:rPr>
              <w:t>（10）</w:t>
              <w:br/>
              <w:t>绩效目标</w:t>
            </w:r>
          </w:p>
        </w:tc>
        <w:tc>
          <w:tcPr>
            <w:tcW w:w="3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20" w:lineRule="exact"/>
              <w:rPr>
                <w:rFonts w:ascii="宋体" w:cs="宋体"/>
                <w:kern w:val="0"/>
                <w:sz w:val="20"/>
                <w:szCs w:val="20"/>
              </w:rPr>
            </w:pPr>
            <w:r>
              <w:rPr>
                <w:rFonts w:ascii="宋体" w:cs="宋体" w:hint="eastAsia"/>
                <w:kern w:val="0"/>
                <w:sz w:val="20"/>
                <w:szCs w:val="20"/>
              </w:rPr>
              <w:t>明确性</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20" w:lineRule="exact"/>
              <w:rPr>
                <w:rFonts w:ascii="宋体" w:cs="宋体"/>
                <w:kern w:val="0"/>
                <w:sz w:val="20"/>
                <w:szCs w:val="20"/>
              </w:rPr>
            </w:pPr>
            <w:r>
              <w:rPr>
                <w:rFonts w:ascii="宋体" w:cs="宋体" w:hint="eastAsia"/>
                <w:kern w:val="0"/>
                <w:sz w:val="20"/>
                <w:szCs w:val="20"/>
              </w:rPr>
              <w:t>5</w:t>
            </w:r>
          </w:p>
        </w:tc>
        <w:tc>
          <w:tcPr>
            <w:tcW w:w="748" w:type="dxa"/>
            <w:tcBorders>
              <w:top w:val="single" w:sz="4" w:space="0" w:color="auto"/>
              <w:left w:val="single" w:sz="4" w:space="0" w:color="auto"/>
              <w:bottom w:val="single" w:sz="4" w:space="0" w:color="auto"/>
              <w:right w:val="single" w:sz="4" w:space="0" w:color="auto"/>
            </w:tcBorders>
            <w:noWrap/>
          </w:tcPr>
          <w:p>
            <w:pPr>
              <w:widowControl/>
              <w:spacing w:line="320" w:lineRule="exact"/>
              <w:rPr>
                <w:rFonts w:ascii="宋体" w:cs="宋体"/>
                <w:kern w:val="0"/>
                <w:sz w:val="20"/>
                <w:szCs w:val="20"/>
              </w:rPr>
            </w:pPr>
            <w:r>
              <w:rPr>
                <w:rFonts w:ascii="宋体" w:cs="宋体" w:hint="eastAsia"/>
                <w:kern w:val="0"/>
                <w:sz w:val="20"/>
                <w:szCs w:val="20"/>
              </w:rPr>
              <w:t>5</w:t>
            </w:r>
          </w:p>
        </w:tc>
      </w:tr>
      <w:tr>
        <w:trPr>
          <w:trHeight w:val="541"/>
        </w:trPr>
        <w:tc>
          <w:tcPr>
            <w:tcW w:w="1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16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3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20" w:lineRule="exact"/>
              <w:rPr>
                <w:rFonts w:ascii="宋体" w:cs="宋体"/>
                <w:kern w:val="0"/>
                <w:sz w:val="20"/>
                <w:szCs w:val="20"/>
              </w:rPr>
            </w:pPr>
            <w:r>
              <w:rPr>
                <w:rFonts w:ascii="宋体" w:cs="宋体" w:hint="eastAsia"/>
                <w:kern w:val="0"/>
                <w:sz w:val="20"/>
                <w:szCs w:val="20"/>
              </w:rPr>
              <w:t>合理性</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20" w:lineRule="exact"/>
              <w:rPr>
                <w:rFonts w:ascii="宋体" w:cs="宋体"/>
                <w:kern w:val="0"/>
                <w:sz w:val="20"/>
                <w:szCs w:val="20"/>
              </w:rPr>
            </w:pPr>
            <w:r>
              <w:rPr>
                <w:rFonts w:ascii="宋体" w:cs="宋体" w:hint="eastAsia"/>
                <w:kern w:val="0"/>
                <w:sz w:val="20"/>
                <w:szCs w:val="20"/>
              </w:rPr>
              <w:t>5</w:t>
            </w:r>
          </w:p>
        </w:tc>
        <w:tc>
          <w:tcPr>
            <w:tcW w:w="748" w:type="dxa"/>
            <w:tcBorders>
              <w:top w:val="single" w:sz="4" w:space="0" w:color="auto"/>
              <w:left w:val="single" w:sz="4" w:space="0" w:color="auto"/>
              <w:bottom w:val="single" w:sz="4" w:space="0" w:color="auto"/>
              <w:right w:val="single" w:sz="4" w:space="0" w:color="auto"/>
            </w:tcBorders>
            <w:noWrap/>
          </w:tcPr>
          <w:p>
            <w:pPr>
              <w:widowControl/>
              <w:spacing w:line="320" w:lineRule="exact"/>
              <w:rPr>
                <w:rFonts w:ascii="宋体" w:cs="宋体"/>
                <w:kern w:val="0"/>
                <w:sz w:val="20"/>
                <w:szCs w:val="20"/>
              </w:rPr>
            </w:pPr>
            <w:r>
              <w:rPr>
                <w:rFonts w:ascii="宋体" w:cs="宋体" w:hint="eastAsia"/>
                <w:kern w:val="0"/>
                <w:sz w:val="20"/>
                <w:szCs w:val="20"/>
              </w:rPr>
              <w:t>5</w:t>
            </w:r>
          </w:p>
        </w:tc>
      </w:tr>
      <w:tr>
        <w:trPr>
          <w:trHeight w:val="87"/>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pPr>
              <w:widowControl/>
              <w:spacing w:line="320" w:lineRule="exact"/>
              <w:jc w:val="center"/>
              <w:rPr>
                <w:rFonts w:ascii="宋体" w:cs="宋体"/>
                <w:kern w:val="0"/>
                <w:sz w:val="20"/>
                <w:szCs w:val="20"/>
              </w:rPr>
            </w:pPr>
            <w:r>
              <w:rPr>
                <w:rFonts w:ascii="宋体" w:cs="宋体" w:hint="eastAsia"/>
                <w:kern w:val="0"/>
                <w:sz w:val="20"/>
                <w:szCs w:val="20"/>
              </w:rPr>
              <w:t>（10分）</w:t>
              <w:br/>
              <w:t>项目管理</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pPr>
              <w:widowControl/>
              <w:spacing w:line="320" w:lineRule="exact"/>
              <w:jc w:val="center"/>
              <w:rPr>
                <w:rFonts w:ascii="宋体" w:cs="宋体"/>
                <w:kern w:val="0"/>
                <w:sz w:val="20"/>
                <w:szCs w:val="20"/>
              </w:rPr>
            </w:pPr>
            <w:r>
              <w:rPr>
                <w:rFonts w:ascii="宋体" w:cs="宋体" w:hint="eastAsia"/>
                <w:kern w:val="0"/>
                <w:sz w:val="20"/>
                <w:szCs w:val="20"/>
              </w:rPr>
              <w:t>（7分）</w:t>
              <w:br/>
              <w:t>资金管理</w:t>
            </w:r>
          </w:p>
        </w:tc>
        <w:tc>
          <w:tcPr>
            <w:tcW w:w="3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20" w:lineRule="exact"/>
              <w:rPr>
                <w:rFonts w:ascii="宋体" w:cs="宋体"/>
                <w:kern w:val="0"/>
                <w:sz w:val="20"/>
                <w:szCs w:val="20"/>
              </w:rPr>
            </w:pPr>
            <w:r>
              <w:rPr>
                <w:rFonts w:ascii="宋体" w:cs="宋体" w:hint="eastAsia"/>
                <w:kern w:val="0"/>
                <w:sz w:val="20"/>
                <w:szCs w:val="20"/>
              </w:rPr>
              <w:t>资金分配</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20" w:lineRule="exact"/>
              <w:rPr>
                <w:rFonts w:ascii="宋体" w:cs="宋体"/>
                <w:kern w:val="0"/>
                <w:sz w:val="20"/>
                <w:szCs w:val="20"/>
              </w:rPr>
            </w:pPr>
            <w:r>
              <w:rPr>
                <w:rFonts w:ascii="宋体" w:cs="宋体" w:hint="eastAsia"/>
                <w:kern w:val="0"/>
                <w:sz w:val="20"/>
                <w:szCs w:val="20"/>
              </w:rPr>
              <w:t>3</w:t>
            </w:r>
          </w:p>
        </w:tc>
        <w:tc>
          <w:tcPr>
            <w:tcW w:w="748" w:type="dxa"/>
            <w:tcBorders>
              <w:top w:val="single" w:sz="4" w:space="0" w:color="auto"/>
              <w:left w:val="single" w:sz="4" w:space="0" w:color="auto"/>
              <w:bottom w:val="single" w:sz="4" w:space="0" w:color="auto"/>
              <w:right w:val="single" w:sz="4" w:space="0" w:color="auto"/>
            </w:tcBorders>
            <w:noWrap/>
          </w:tcPr>
          <w:p>
            <w:pPr>
              <w:widowControl/>
              <w:spacing w:line="320" w:lineRule="exact"/>
              <w:rPr>
                <w:rFonts w:ascii="宋体" w:cs="宋体"/>
                <w:kern w:val="0"/>
                <w:sz w:val="20"/>
                <w:szCs w:val="20"/>
              </w:rPr>
            </w:pPr>
            <w:r>
              <w:rPr>
                <w:rFonts w:ascii="宋体" w:cs="宋体" w:hint="eastAsia"/>
                <w:kern w:val="0"/>
                <w:sz w:val="20"/>
                <w:szCs w:val="20"/>
              </w:rPr>
              <w:t>3</w:t>
            </w:r>
          </w:p>
        </w:tc>
      </w:tr>
      <w:tr>
        <w:trPr>
          <w:trHeight w:val="595"/>
        </w:trPr>
        <w:tc>
          <w:tcPr>
            <w:tcW w:w="1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1640"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tc>
        <w:tc>
          <w:tcPr>
            <w:tcW w:w="3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20" w:lineRule="exact"/>
              <w:rPr>
                <w:rFonts w:ascii="宋体" w:cs="宋体"/>
                <w:kern w:val="0"/>
                <w:sz w:val="20"/>
                <w:szCs w:val="20"/>
              </w:rPr>
            </w:pPr>
            <w:r>
              <w:rPr>
                <w:rFonts w:ascii="宋体" w:cs="宋体" w:hint="eastAsia"/>
                <w:kern w:val="0"/>
                <w:sz w:val="20"/>
                <w:szCs w:val="20"/>
              </w:rPr>
              <w:t>资金使用</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20" w:lineRule="exact"/>
              <w:rPr>
                <w:rFonts w:ascii="宋体" w:cs="宋体"/>
                <w:kern w:val="0"/>
                <w:sz w:val="20"/>
                <w:szCs w:val="20"/>
              </w:rPr>
            </w:pPr>
            <w:r>
              <w:rPr>
                <w:rFonts w:ascii="宋体" w:cs="宋体" w:hint="eastAsia"/>
                <w:kern w:val="0"/>
                <w:sz w:val="20"/>
                <w:szCs w:val="20"/>
              </w:rPr>
              <w:t>4</w:t>
            </w:r>
          </w:p>
        </w:tc>
        <w:tc>
          <w:tcPr>
            <w:tcW w:w="748" w:type="dxa"/>
            <w:tcBorders>
              <w:top w:val="single" w:sz="4" w:space="0" w:color="auto"/>
              <w:left w:val="single" w:sz="4" w:space="0" w:color="auto"/>
              <w:bottom w:val="single" w:sz="4" w:space="0" w:color="auto"/>
              <w:right w:val="single" w:sz="4" w:space="0" w:color="auto"/>
            </w:tcBorders>
            <w:noWrap/>
          </w:tcPr>
          <w:p>
            <w:pPr>
              <w:widowControl/>
              <w:spacing w:line="320" w:lineRule="exact"/>
              <w:rPr>
                <w:rFonts w:ascii="宋体" w:cs="宋体"/>
                <w:kern w:val="0"/>
                <w:sz w:val="20"/>
                <w:szCs w:val="20"/>
              </w:rPr>
            </w:pPr>
            <w:r>
              <w:rPr>
                <w:rFonts w:ascii="宋体" w:cs="宋体" w:hint="eastAsia"/>
                <w:kern w:val="0"/>
                <w:sz w:val="20"/>
                <w:szCs w:val="20"/>
              </w:rPr>
              <w:t>4</w:t>
            </w:r>
          </w:p>
        </w:tc>
      </w:tr>
      <w:tr>
        <w:trPr>
          <w:trHeight w:val="929"/>
        </w:trPr>
        <w:tc>
          <w:tcPr>
            <w:tcW w:w="1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1640"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pPr>
              <w:widowControl/>
              <w:spacing w:line="320" w:lineRule="exact"/>
              <w:jc w:val="center"/>
              <w:rPr>
                <w:rFonts w:ascii="宋体" w:cs="宋体"/>
                <w:kern w:val="0"/>
                <w:sz w:val="20"/>
                <w:szCs w:val="20"/>
              </w:rPr>
            </w:pPr>
            <w:r>
              <w:rPr>
                <w:rFonts w:ascii="宋体" w:cs="宋体" w:hint="eastAsia"/>
                <w:kern w:val="0"/>
                <w:sz w:val="20"/>
                <w:szCs w:val="20"/>
              </w:rPr>
              <w:t>（3分）</w:t>
              <w:br/>
              <w:t>项目执行</w:t>
            </w:r>
          </w:p>
        </w:tc>
        <w:tc>
          <w:tcPr>
            <w:tcW w:w="3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20" w:lineRule="exact"/>
              <w:rPr>
                <w:rFonts w:ascii="宋体" w:cs="宋体"/>
                <w:kern w:val="0"/>
                <w:sz w:val="20"/>
                <w:szCs w:val="20"/>
              </w:rPr>
            </w:pPr>
            <w:r>
              <w:rPr>
                <w:rFonts w:ascii="宋体" w:cs="宋体" w:hint="eastAsia"/>
                <w:kern w:val="0"/>
                <w:sz w:val="20"/>
                <w:szCs w:val="20"/>
              </w:rPr>
              <w:t>执行规范</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20" w:lineRule="exact"/>
              <w:rPr>
                <w:rFonts w:ascii="宋体" w:cs="宋体"/>
                <w:kern w:val="0"/>
                <w:sz w:val="20"/>
                <w:szCs w:val="20"/>
              </w:rPr>
            </w:pPr>
            <w:r>
              <w:rPr>
                <w:rFonts w:ascii="宋体" w:cs="宋体" w:hint="eastAsia"/>
                <w:kern w:val="0"/>
                <w:sz w:val="20"/>
                <w:szCs w:val="20"/>
              </w:rPr>
              <w:t>3</w:t>
            </w:r>
          </w:p>
        </w:tc>
        <w:tc>
          <w:tcPr>
            <w:tcW w:w="748" w:type="dxa"/>
            <w:tcBorders>
              <w:top w:val="single" w:sz="4" w:space="0" w:color="auto"/>
              <w:left w:val="single" w:sz="4" w:space="0" w:color="auto"/>
              <w:bottom w:val="single" w:sz="4" w:space="0" w:color="auto"/>
              <w:right w:val="single" w:sz="4" w:space="0" w:color="auto"/>
            </w:tcBorders>
            <w:noWrap/>
          </w:tcPr>
          <w:p>
            <w:pPr>
              <w:widowControl/>
              <w:spacing w:line="320" w:lineRule="exact"/>
              <w:rPr>
                <w:rFonts w:ascii="宋体" w:cs="宋体"/>
                <w:kern w:val="0"/>
                <w:sz w:val="20"/>
                <w:szCs w:val="20"/>
              </w:rPr>
            </w:pPr>
          </w:p>
          <w:p>
            <w:pPr>
              <w:widowControl/>
              <w:spacing w:line="320" w:lineRule="exact"/>
              <w:rPr>
                <w:rFonts w:ascii="宋体" w:cs="宋体"/>
                <w:kern w:val="0"/>
                <w:sz w:val="20"/>
                <w:szCs w:val="20"/>
              </w:rPr>
            </w:pPr>
            <w:r>
              <w:rPr>
                <w:rFonts w:ascii="宋体" w:cs="宋体" w:hint="eastAsia"/>
                <w:kern w:val="0"/>
                <w:sz w:val="20"/>
                <w:szCs w:val="20"/>
              </w:rPr>
              <w:t>3</w:t>
            </w:r>
          </w:p>
        </w:tc>
      </w:tr>
      <w:tr>
        <w:trPr>
          <w:trHeight w:val="73"/>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pPr>
              <w:widowControl/>
              <w:spacing w:line="320" w:lineRule="exact"/>
              <w:jc w:val="center"/>
              <w:rPr>
                <w:rFonts w:ascii="宋体" w:cs="宋体"/>
                <w:kern w:val="0"/>
                <w:sz w:val="20"/>
                <w:szCs w:val="20"/>
              </w:rPr>
            </w:pPr>
            <w:r>
              <w:rPr>
                <w:rFonts w:ascii="宋体" w:cs="宋体" w:hint="eastAsia"/>
                <w:kern w:val="0"/>
                <w:sz w:val="20"/>
                <w:szCs w:val="20"/>
              </w:rPr>
              <w:t>（特性指标70分）</w:t>
              <w:br/>
              <w:t>项目绩效</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pPr>
              <w:widowControl/>
              <w:spacing w:line="320" w:lineRule="exact"/>
              <w:jc w:val="center"/>
              <w:rPr>
                <w:rFonts w:ascii="宋体" w:cs="宋体"/>
                <w:kern w:val="0"/>
                <w:sz w:val="20"/>
                <w:szCs w:val="20"/>
              </w:rPr>
            </w:pPr>
            <w:r>
              <w:rPr>
                <w:rFonts w:ascii="宋体" w:cs="宋体" w:hint="eastAsia"/>
                <w:kern w:val="0"/>
                <w:sz w:val="20"/>
                <w:szCs w:val="20"/>
              </w:rPr>
              <w:t>（20）</w:t>
              <w:br/>
              <w:t>项目完成</w:t>
            </w:r>
          </w:p>
        </w:tc>
        <w:tc>
          <w:tcPr>
            <w:tcW w:w="3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20" w:lineRule="exact"/>
              <w:jc w:val="left"/>
              <w:rPr>
                <w:rFonts w:ascii="宋体" w:cs="宋体"/>
                <w:kern w:val="0"/>
                <w:sz w:val="20"/>
                <w:szCs w:val="20"/>
              </w:rPr>
            </w:pPr>
            <w:r>
              <w:rPr>
                <w:rFonts w:ascii="宋体" w:cs="宋体" w:hint="eastAsia"/>
                <w:kern w:val="0"/>
                <w:sz w:val="20"/>
                <w:szCs w:val="20"/>
              </w:rPr>
              <w:t>完成数量</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20" w:lineRule="exact"/>
              <w:jc w:val="center"/>
              <w:rPr>
                <w:rFonts w:ascii="宋体" w:cs="宋体"/>
                <w:kern w:val="0"/>
                <w:sz w:val="20"/>
                <w:szCs w:val="20"/>
              </w:rPr>
            </w:pPr>
            <w:r>
              <w:rPr>
                <w:rFonts w:ascii="宋体" w:cs="宋体" w:hint="eastAsia"/>
                <w:kern w:val="0"/>
                <w:sz w:val="20"/>
                <w:szCs w:val="20"/>
              </w:rPr>
              <w:t>5</w:t>
            </w:r>
          </w:p>
        </w:tc>
        <w:tc>
          <w:tcPr>
            <w:tcW w:w="748" w:type="dxa"/>
            <w:tcBorders>
              <w:top w:val="single" w:sz="4" w:space="0" w:color="auto"/>
              <w:left w:val="single" w:sz="4" w:space="0" w:color="auto"/>
              <w:bottom w:val="single" w:sz="4" w:space="0" w:color="auto"/>
              <w:right w:val="single" w:sz="4" w:space="0" w:color="auto"/>
            </w:tcBorders>
            <w:noWrap/>
          </w:tcPr>
          <w:p>
            <w:pPr>
              <w:widowControl/>
              <w:spacing w:line="320" w:lineRule="exact"/>
              <w:jc w:val="center"/>
              <w:rPr>
                <w:rFonts w:ascii="宋体" w:cs="宋体"/>
                <w:kern w:val="0"/>
                <w:sz w:val="20"/>
                <w:szCs w:val="20"/>
              </w:rPr>
            </w:pPr>
            <w:r>
              <w:rPr>
                <w:rFonts w:ascii="宋体" w:cs="宋体" w:hint="eastAsia"/>
                <w:kern w:val="0"/>
                <w:sz w:val="20"/>
                <w:szCs w:val="20"/>
              </w:rPr>
              <w:t>5</w:t>
            </w:r>
          </w:p>
        </w:tc>
      </w:tr>
      <w:tr>
        <w:trPr>
          <w:trHeight w:val="73"/>
        </w:trPr>
        <w:tc>
          <w:tcPr>
            <w:tcW w:w="1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16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3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20" w:lineRule="exact"/>
              <w:rPr>
                <w:rFonts w:ascii="宋体" w:cs="宋体"/>
                <w:kern w:val="0"/>
                <w:sz w:val="20"/>
                <w:szCs w:val="20"/>
              </w:rPr>
            </w:pPr>
            <w:r>
              <w:rPr>
                <w:rFonts w:ascii="宋体" w:cs="宋体" w:hint="eastAsia"/>
                <w:kern w:val="0"/>
                <w:sz w:val="20"/>
                <w:szCs w:val="20"/>
              </w:rPr>
              <w:t>完成质量</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20" w:lineRule="exact"/>
              <w:rPr>
                <w:rFonts w:ascii="宋体" w:cs="宋体"/>
                <w:kern w:val="0"/>
                <w:sz w:val="20"/>
                <w:szCs w:val="20"/>
              </w:rPr>
            </w:pPr>
            <w:r>
              <w:rPr>
                <w:rFonts w:ascii="宋体" w:cs="宋体" w:hint="eastAsia"/>
                <w:kern w:val="0"/>
                <w:sz w:val="20"/>
                <w:szCs w:val="20"/>
              </w:rPr>
              <w:t xml:space="preserve">5 </w:t>
            </w:r>
          </w:p>
        </w:tc>
        <w:tc>
          <w:tcPr>
            <w:tcW w:w="748" w:type="dxa"/>
            <w:tcBorders>
              <w:top w:val="single" w:sz="4" w:space="0" w:color="auto"/>
              <w:left w:val="single" w:sz="4" w:space="0" w:color="auto"/>
              <w:bottom w:val="single" w:sz="4" w:space="0" w:color="auto"/>
              <w:right w:val="single" w:sz="4" w:space="0" w:color="auto"/>
            </w:tcBorders>
            <w:noWrap/>
          </w:tcPr>
          <w:p>
            <w:pPr>
              <w:widowControl/>
              <w:spacing w:line="320" w:lineRule="exact"/>
              <w:rPr>
                <w:rFonts w:ascii="宋体" w:cs="宋体"/>
                <w:kern w:val="0"/>
                <w:sz w:val="20"/>
                <w:szCs w:val="20"/>
              </w:rPr>
            </w:pPr>
            <w:r>
              <w:rPr>
                <w:rFonts w:ascii="宋体" w:cs="宋体" w:hint="eastAsia"/>
                <w:kern w:val="0"/>
                <w:sz w:val="20"/>
                <w:szCs w:val="20"/>
              </w:rPr>
              <w:t>5</w:t>
            </w:r>
          </w:p>
        </w:tc>
      </w:tr>
      <w:tr>
        <w:trPr>
          <w:trHeight w:val="68"/>
        </w:trPr>
        <w:tc>
          <w:tcPr>
            <w:tcW w:w="1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16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3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20" w:lineRule="exact"/>
              <w:rPr>
                <w:rFonts w:ascii="宋体" w:cs="宋体"/>
                <w:kern w:val="0"/>
                <w:sz w:val="20"/>
                <w:szCs w:val="20"/>
              </w:rPr>
            </w:pPr>
            <w:r>
              <w:rPr>
                <w:rFonts w:ascii="宋体" w:cs="宋体" w:hint="eastAsia"/>
                <w:kern w:val="0"/>
                <w:sz w:val="20"/>
                <w:szCs w:val="20"/>
              </w:rPr>
              <w:t>完成时效</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20" w:lineRule="exact"/>
              <w:rPr>
                <w:rFonts w:ascii="宋体" w:cs="宋体"/>
                <w:kern w:val="0"/>
                <w:sz w:val="20"/>
                <w:szCs w:val="20"/>
              </w:rPr>
            </w:pPr>
            <w:r>
              <w:rPr>
                <w:rFonts w:ascii="宋体" w:cs="宋体" w:hint="eastAsia"/>
                <w:kern w:val="0"/>
                <w:sz w:val="20"/>
                <w:szCs w:val="20"/>
              </w:rPr>
              <w:t>5</w:t>
            </w:r>
          </w:p>
        </w:tc>
        <w:tc>
          <w:tcPr>
            <w:tcW w:w="748" w:type="dxa"/>
            <w:tcBorders>
              <w:top w:val="single" w:sz="4" w:space="0" w:color="auto"/>
              <w:left w:val="single" w:sz="4" w:space="0" w:color="auto"/>
              <w:bottom w:val="single" w:sz="4" w:space="0" w:color="auto"/>
              <w:right w:val="single" w:sz="4" w:space="0" w:color="auto"/>
            </w:tcBorders>
            <w:noWrap/>
          </w:tcPr>
          <w:p>
            <w:pPr>
              <w:widowControl/>
              <w:spacing w:line="320" w:lineRule="exact"/>
              <w:rPr>
                <w:rFonts w:ascii="宋体" w:cs="宋体"/>
                <w:kern w:val="0"/>
                <w:sz w:val="20"/>
                <w:szCs w:val="20"/>
              </w:rPr>
            </w:pPr>
            <w:r>
              <w:rPr>
                <w:rFonts w:ascii="宋体" w:cs="宋体" w:hint="eastAsia"/>
                <w:kern w:val="0"/>
                <w:sz w:val="20"/>
                <w:szCs w:val="20"/>
              </w:rPr>
              <w:t>4</w:t>
            </w:r>
          </w:p>
        </w:tc>
      </w:tr>
      <w:tr>
        <w:trPr>
          <w:trHeight w:val="58"/>
        </w:trPr>
        <w:tc>
          <w:tcPr>
            <w:tcW w:w="1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16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3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20" w:lineRule="exact"/>
              <w:rPr>
                <w:rFonts w:ascii="宋体" w:cs="宋体"/>
                <w:kern w:val="0"/>
                <w:sz w:val="20"/>
                <w:szCs w:val="20"/>
              </w:rPr>
            </w:pPr>
            <w:r>
              <w:rPr>
                <w:rFonts w:ascii="宋体" w:cs="宋体" w:hint="eastAsia"/>
                <w:kern w:val="0"/>
                <w:sz w:val="20"/>
                <w:szCs w:val="20"/>
              </w:rPr>
              <w:t>完成成本</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20" w:lineRule="exact"/>
              <w:rPr>
                <w:rFonts w:ascii="宋体" w:cs="宋体"/>
                <w:kern w:val="0"/>
                <w:sz w:val="20"/>
                <w:szCs w:val="20"/>
              </w:rPr>
            </w:pPr>
            <w:r>
              <w:rPr>
                <w:rFonts w:ascii="宋体" w:cs="宋体" w:hint="eastAsia"/>
                <w:kern w:val="0"/>
                <w:sz w:val="20"/>
                <w:szCs w:val="20"/>
              </w:rPr>
              <w:t>5</w:t>
            </w:r>
          </w:p>
        </w:tc>
        <w:tc>
          <w:tcPr>
            <w:tcW w:w="748" w:type="dxa"/>
            <w:tcBorders>
              <w:top w:val="single" w:sz="4" w:space="0" w:color="auto"/>
              <w:left w:val="single" w:sz="4" w:space="0" w:color="auto"/>
              <w:bottom w:val="single" w:sz="4" w:space="0" w:color="auto"/>
              <w:right w:val="single" w:sz="4" w:space="0" w:color="auto"/>
            </w:tcBorders>
            <w:noWrap/>
          </w:tcPr>
          <w:p>
            <w:pPr>
              <w:widowControl/>
              <w:spacing w:line="320" w:lineRule="exact"/>
              <w:rPr>
                <w:rFonts w:ascii="宋体" w:cs="宋体"/>
                <w:kern w:val="0"/>
                <w:sz w:val="20"/>
                <w:szCs w:val="20"/>
              </w:rPr>
            </w:pPr>
            <w:r>
              <w:rPr>
                <w:rFonts w:ascii="宋体" w:cs="宋体" w:hint="eastAsia"/>
                <w:kern w:val="0"/>
                <w:sz w:val="20"/>
                <w:szCs w:val="20"/>
              </w:rPr>
              <w:t>5</w:t>
            </w:r>
          </w:p>
        </w:tc>
      </w:tr>
      <w:tr>
        <w:trPr>
          <w:trHeight w:val="90"/>
        </w:trPr>
        <w:tc>
          <w:tcPr>
            <w:tcW w:w="1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pPr>
              <w:widowControl/>
              <w:spacing w:line="320" w:lineRule="exact"/>
              <w:jc w:val="center"/>
              <w:rPr>
                <w:rFonts w:ascii="宋体" w:cs="宋体"/>
                <w:kern w:val="0"/>
                <w:sz w:val="20"/>
                <w:szCs w:val="20"/>
              </w:rPr>
            </w:pPr>
            <w:r>
              <w:rPr>
                <w:rFonts w:ascii="宋体" w:cs="宋体" w:hint="eastAsia"/>
                <w:kern w:val="0"/>
                <w:sz w:val="20"/>
                <w:szCs w:val="20"/>
              </w:rPr>
              <w:t>（50分）</w:t>
              <w:br/>
              <w:t>项目效益</w:t>
            </w:r>
          </w:p>
        </w:tc>
        <w:tc>
          <w:tcPr>
            <w:tcW w:w="3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20" w:lineRule="exact"/>
              <w:rPr>
                <w:rFonts w:ascii="宋体" w:cs="宋体"/>
                <w:kern w:val="0"/>
                <w:sz w:val="20"/>
                <w:szCs w:val="20"/>
              </w:rPr>
            </w:pPr>
            <w:r>
              <w:rPr>
                <w:rFonts w:ascii="宋体" w:cs="宋体" w:hint="eastAsia"/>
                <w:kern w:val="0"/>
                <w:sz w:val="20"/>
                <w:szCs w:val="20"/>
              </w:rPr>
              <w:t>经济效益（可选项）</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20" w:lineRule="exact"/>
              <w:rPr>
                <w:rFonts w:ascii="宋体" w:cs="宋体"/>
                <w:kern w:val="0"/>
                <w:sz w:val="20"/>
                <w:szCs w:val="20"/>
              </w:rPr>
            </w:pPr>
            <w:r>
              <w:rPr>
                <w:rFonts w:ascii="宋体" w:cs="宋体" w:hint="eastAsia"/>
                <w:kern w:val="0"/>
                <w:sz w:val="20"/>
                <w:szCs w:val="20"/>
              </w:rPr>
              <w:t>40</w:t>
            </w:r>
          </w:p>
        </w:tc>
        <w:tc>
          <w:tcPr>
            <w:tcW w:w="748" w:type="dxa"/>
            <w:tcBorders>
              <w:top w:val="single" w:sz="4" w:space="0" w:color="auto"/>
              <w:left w:val="single" w:sz="4" w:space="0" w:color="auto"/>
              <w:bottom w:val="single" w:sz="4" w:space="0" w:color="auto"/>
              <w:right w:val="single" w:sz="4" w:space="0" w:color="auto"/>
            </w:tcBorders>
            <w:noWrap/>
          </w:tcPr>
          <w:p>
            <w:pPr>
              <w:widowControl/>
              <w:spacing w:line="320" w:lineRule="exact"/>
              <w:rPr>
                <w:rFonts w:ascii="宋体" w:cs="宋体"/>
                <w:kern w:val="0"/>
                <w:sz w:val="20"/>
                <w:szCs w:val="20"/>
              </w:rPr>
            </w:pPr>
          </w:p>
        </w:tc>
      </w:tr>
      <w:tr>
        <w:trPr>
          <w:trHeight w:val="110"/>
        </w:trPr>
        <w:tc>
          <w:tcPr>
            <w:tcW w:w="1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16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3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20" w:lineRule="exact"/>
              <w:rPr>
                <w:rFonts w:ascii="宋体" w:cs="宋体"/>
                <w:kern w:val="0"/>
                <w:sz w:val="20"/>
                <w:szCs w:val="20"/>
              </w:rPr>
            </w:pPr>
            <w:r>
              <w:rPr>
                <w:rFonts w:ascii="宋体" w:cs="宋体" w:hint="eastAsia"/>
                <w:kern w:val="0"/>
                <w:sz w:val="20"/>
                <w:szCs w:val="20"/>
              </w:rPr>
              <w:t>社会效益（可选项）</w:t>
            </w:r>
          </w:p>
        </w:tc>
        <w:tc>
          <w:tcPr>
            <w:tcW w:w="12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748" w:type="dxa"/>
            <w:tcBorders>
              <w:top w:val="single" w:sz="4" w:space="0" w:color="auto"/>
              <w:left w:val="single" w:sz="4" w:space="0" w:color="auto"/>
              <w:bottom w:val="single" w:sz="4" w:space="0" w:color="auto"/>
              <w:right w:val="single" w:sz="4" w:space="0" w:color="auto"/>
            </w:tcBorders>
            <w:noWrap/>
          </w:tcPr>
          <w:p>
            <w:pPr>
              <w:widowControl/>
              <w:spacing w:line="320" w:lineRule="exact"/>
              <w:rPr>
                <w:rFonts w:ascii="宋体" w:cs="宋体"/>
                <w:kern w:val="0"/>
                <w:sz w:val="20"/>
                <w:szCs w:val="20"/>
              </w:rPr>
            </w:pPr>
            <w:r>
              <w:rPr>
                <w:rFonts w:ascii="宋体" w:cs="宋体" w:hint="eastAsia"/>
                <w:kern w:val="0"/>
                <w:sz w:val="20"/>
                <w:szCs w:val="20"/>
              </w:rPr>
              <w:t>38</w:t>
            </w:r>
          </w:p>
        </w:tc>
      </w:tr>
      <w:tr>
        <w:trPr>
          <w:trHeight w:val="89"/>
        </w:trPr>
        <w:tc>
          <w:tcPr>
            <w:tcW w:w="1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16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3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20" w:lineRule="exact"/>
              <w:rPr>
                <w:rFonts w:ascii="宋体" w:cs="宋体"/>
                <w:kern w:val="0"/>
                <w:sz w:val="20"/>
                <w:szCs w:val="20"/>
              </w:rPr>
            </w:pPr>
            <w:r>
              <w:rPr>
                <w:rFonts w:ascii="宋体" w:cs="宋体" w:hint="eastAsia"/>
                <w:kern w:val="0"/>
                <w:sz w:val="20"/>
                <w:szCs w:val="20"/>
              </w:rPr>
              <w:t>生态效益（可选项）</w:t>
            </w:r>
          </w:p>
        </w:tc>
        <w:tc>
          <w:tcPr>
            <w:tcW w:w="12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748" w:type="dxa"/>
            <w:tcBorders>
              <w:top w:val="single" w:sz="4" w:space="0" w:color="auto"/>
              <w:left w:val="single" w:sz="4" w:space="0" w:color="auto"/>
              <w:bottom w:val="single" w:sz="4" w:space="0" w:color="auto"/>
              <w:right w:val="single" w:sz="4" w:space="0" w:color="auto"/>
            </w:tcBorders>
            <w:noWrap/>
          </w:tcPr>
          <w:p>
            <w:pPr>
              <w:widowControl/>
              <w:spacing w:line="320" w:lineRule="exact"/>
              <w:rPr>
                <w:rFonts w:ascii="宋体" w:cs="宋体"/>
                <w:kern w:val="0"/>
                <w:sz w:val="20"/>
                <w:szCs w:val="20"/>
              </w:rPr>
            </w:pPr>
          </w:p>
        </w:tc>
      </w:tr>
      <w:tr>
        <w:trPr>
          <w:trHeight w:val="112"/>
        </w:trPr>
        <w:tc>
          <w:tcPr>
            <w:tcW w:w="1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16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3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20" w:lineRule="exact"/>
              <w:rPr>
                <w:rFonts w:ascii="宋体" w:cs="宋体"/>
                <w:kern w:val="0"/>
                <w:sz w:val="20"/>
                <w:szCs w:val="20"/>
              </w:rPr>
            </w:pPr>
            <w:r>
              <w:rPr>
                <w:rFonts w:ascii="宋体" w:cs="宋体" w:hint="eastAsia"/>
                <w:kern w:val="0"/>
                <w:sz w:val="20"/>
                <w:szCs w:val="20"/>
              </w:rPr>
              <w:t>可持续效益（可选项）</w:t>
            </w:r>
          </w:p>
        </w:tc>
        <w:tc>
          <w:tcPr>
            <w:tcW w:w="12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748" w:type="dxa"/>
            <w:tcBorders>
              <w:top w:val="single" w:sz="4" w:space="0" w:color="auto"/>
              <w:left w:val="single" w:sz="4" w:space="0" w:color="auto"/>
              <w:bottom w:val="single" w:sz="4" w:space="0" w:color="auto"/>
              <w:right w:val="single" w:sz="4" w:space="0" w:color="auto"/>
            </w:tcBorders>
            <w:noWrap/>
          </w:tcPr>
          <w:p>
            <w:pPr>
              <w:widowControl/>
              <w:spacing w:line="320" w:lineRule="exact"/>
              <w:rPr>
                <w:rFonts w:ascii="宋体" w:cs="宋体"/>
                <w:kern w:val="0"/>
                <w:sz w:val="20"/>
                <w:szCs w:val="20"/>
              </w:rPr>
            </w:pPr>
          </w:p>
        </w:tc>
      </w:tr>
      <w:tr>
        <w:trPr>
          <w:trHeight w:val="110"/>
        </w:trPr>
        <w:tc>
          <w:tcPr>
            <w:tcW w:w="1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16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3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20" w:lineRule="exact"/>
              <w:rPr>
                <w:rFonts w:ascii="宋体" w:cs="宋体"/>
                <w:kern w:val="0"/>
                <w:sz w:val="20"/>
                <w:szCs w:val="20"/>
              </w:rPr>
            </w:pPr>
            <w:r>
              <w:rPr>
                <w:rFonts w:ascii="宋体" w:cs="宋体" w:hint="eastAsia"/>
                <w:kern w:val="0"/>
                <w:sz w:val="20"/>
                <w:szCs w:val="20"/>
              </w:rPr>
              <w:t>公平效率（可选项）</w:t>
            </w:r>
          </w:p>
        </w:tc>
        <w:tc>
          <w:tcPr>
            <w:tcW w:w="12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748" w:type="dxa"/>
            <w:tcBorders>
              <w:top w:val="single" w:sz="4" w:space="0" w:color="auto"/>
              <w:left w:val="single" w:sz="4" w:space="0" w:color="auto"/>
              <w:bottom w:val="single" w:sz="4" w:space="0" w:color="auto"/>
              <w:right w:val="single" w:sz="4" w:space="0" w:color="auto"/>
            </w:tcBorders>
            <w:noWrap/>
          </w:tcPr>
          <w:p>
            <w:pPr>
              <w:widowControl/>
              <w:spacing w:line="320" w:lineRule="exact"/>
              <w:rPr>
                <w:rFonts w:ascii="宋体" w:cs="宋体"/>
                <w:kern w:val="0"/>
                <w:sz w:val="20"/>
                <w:szCs w:val="20"/>
              </w:rPr>
            </w:pPr>
          </w:p>
        </w:tc>
      </w:tr>
      <w:tr>
        <w:trPr>
          <w:trHeight w:val="91"/>
        </w:trPr>
        <w:tc>
          <w:tcPr>
            <w:tcW w:w="1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16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3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20" w:lineRule="exact"/>
              <w:rPr>
                <w:rFonts w:ascii="宋体" w:cs="宋体"/>
                <w:kern w:val="0"/>
                <w:sz w:val="20"/>
                <w:szCs w:val="20"/>
              </w:rPr>
            </w:pPr>
            <w:r>
              <w:rPr>
                <w:rFonts w:ascii="宋体" w:cs="宋体" w:hint="eastAsia"/>
                <w:kern w:val="0"/>
                <w:sz w:val="20"/>
                <w:szCs w:val="20"/>
              </w:rPr>
              <w:t>使用效率（可选项）</w:t>
            </w:r>
          </w:p>
        </w:tc>
        <w:tc>
          <w:tcPr>
            <w:tcW w:w="12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748" w:type="dxa"/>
            <w:tcBorders>
              <w:top w:val="single" w:sz="4" w:space="0" w:color="auto"/>
              <w:left w:val="single" w:sz="4" w:space="0" w:color="auto"/>
              <w:bottom w:val="single" w:sz="4" w:space="0" w:color="auto"/>
              <w:right w:val="single" w:sz="4" w:space="0" w:color="auto"/>
            </w:tcBorders>
            <w:noWrap/>
          </w:tcPr>
          <w:p>
            <w:pPr>
              <w:widowControl/>
              <w:spacing w:line="320" w:lineRule="exact"/>
              <w:rPr>
                <w:rFonts w:ascii="宋体" w:cs="宋体"/>
                <w:kern w:val="0"/>
                <w:sz w:val="20"/>
                <w:szCs w:val="20"/>
              </w:rPr>
            </w:pPr>
          </w:p>
        </w:tc>
      </w:tr>
      <w:tr>
        <w:trPr>
          <w:trHeight w:val="80"/>
        </w:trPr>
        <w:tc>
          <w:tcPr>
            <w:tcW w:w="12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164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3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20" w:lineRule="exact"/>
              <w:rPr>
                <w:rFonts w:ascii="宋体" w:cs="宋体"/>
                <w:kern w:val="0"/>
                <w:sz w:val="20"/>
                <w:szCs w:val="20"/>
              </w:rPr>
            </w:pPr>
            <w:r>
              <w:rPr>
                <w:rFonts w:ascii="宋体" w:cs="宋体" w:hint="eastAsia"/>
                <w:kern w:val="0"/>
                <w:sz w:val="20"/>
                <w:szCs w:val="20"/>
              </w:rPr>
              <w:t xml:space="preserve">服务对象满意度    </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20" w:lineRule="exact"/>
              <w:rPr>
                <w:rFonts w:ascii="宋体" w:cs="宋体"/>
                <w:kern w:val="0"/>
                <w:sz w:val="20"/>
                <w:szCs w:val="20"/>
              </w:rPr>
            </w:pPr>
            <w:r>
              <w:rPr>
                <w:rFonts w:ascii="宋体" w:cs="宋体" w:hint="eastAsia"/>
                <w:kern w:val="0"/>
                <w:sz w:val="20"/>
                <w:szCs w:val="20"/>
              </w:rPr>
              <w:t>10</w:t>
            </w:r>
          </w:p>
        </w:tc>
        <w:tc>
          <w:tcPr>
            <w:tcW w:w="748" w:type="dxa"/>
            <w:tcBorders>
              <w:top w:val="single" w:sz="4" w:space="0" w:color="auto"/>
              <w:left w:val="single" w:sz="4" w:space="0" w:color="auto"/>
              <w:bottom w:val="single" w:sz="4" w:space="0" w:color="auto"/>
              <w:right w:val="single" w:sz="4" w:space="0" w:color="auto"/>
            </w:tcBorders>
            <w:noWrap/>
          </w:tcPr>
          <w:p>
            <w:pPr>
              <w:widowControl/>
              <w:spacing w:line="320" w:lineRule="exact"/>
              <w:rPr>
                <w:rFonts w:ascii="宋体" w:cs="宋体"/>
                <w:kern w:val="0"/>
                <w:sz w:val="20"/>
                <w:szCs w:val="20"/>
              </w:rPr>
            </w:pPr>
            <w:r>
              <w:rPr>
                <w:rFonts w:ascii="宋体" w:cs="宋体" w:hint="eastAsia"/>
                <w:kern w:val="0"/>
                <w:sz w:val="20"/>
                <w:szCs w:val="20"/>
              </w:rPr>
              <w:t>9</w:t>
            </w:r>
          </w:p>
        </w:tc>
      </w:tr>
      <w:tr>
        <w:trPr>
          <w:trHeight w:val="63"/>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20" w:lineRule="exact"/>
              <w:rPr>
                <w:rFonts w:ascii="宋体" w:cs="宋体"/>
                <w:b/>
                <w:kern w:val="0"/>
                <w:sz w:val="20"/>
                <w:szCs w:val="20"/>
              </w:rPr>
            </w:pPr>
            <w:r>
              <w:rPr>
                <w:rFonts w:ascii="宋体" w:cs="宋体" w:hint="eastAsia"/>
                <w:b/>
                <w:kern w:val="0"/>
                <w:sz w:val="20"/>
                <w:szCs w:val="20"/>
              </w:rPr>
              <w:t>总分</w:t>
            </w:r>
          </w:p>
        </w:tc>
        <w:tc>
          <w:tcPr>
            <w:tcW w:w="717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20" w:lineRule="exact"/>
              <w:rPr>
                <w:rFonts w:ascii="宋体" w:cs="宋体"/>
                <w:b/>
                <w:kern w:val="0"/>
                <w:sz w:val="20"/>
                <w:szCs w:val="20"/>
              </w:rPr>
            </w:pPr>
            <w:r>
              <w:rPr>
                <w:rFonts w:ascii="宋体" w:cs="宋体" w:hint="eastAsia"/>
                <w:b/>
                <w:kern w:val="0"/>
                <w:sz w:val="20"/>
                <w:szCs w:val="20"/>
              </w:rPr>
              <w:t>96分</w:t>
            </w:r>
          </w:p>
        </w:tc>
      </w:tr>
    </w:tbl>
    <w:p>
      <w:pPr>
        <w:spacing w:line="580" w:lineRule="exact"/>
        <w:ind w:firstLineChars="200" w:firstLine="640"/>
        <w:rPr>
          <w:rFonts w:ascii="楷体" w:eastAsia="楷体" w:cs="仿宋_GB2312"/>
          <w:b/>
          <w:sz w:val="32"/>
          <w:szCs w:val="32"/>
        </w:rPr>
      </w:pPr>
      <w:r>
        <w:rPr>
          <w:rFonts w:ascii="楷体" w:eastAsia="楷体" w:cs="仿宋_GB2312"/>
          <w:b/>
          <w:sz w:val="32"/>
          <w:szCs w:val="32"/>
        </w:rPr>
        <w:t>（</w:t>
      </w:r>
      <w:r>
        <w:rPr>
          <w:rFonts w:ascii="楷体" w:eastAsia="楷体" w:cs="仿宋_GB2312" w:hint="eastAsia"/>
          <w:b/>
          <w:sz w:val="32"/>
          <w:szCs w:val="32"/>
        </w:rPr>
        <w:t>二</w:t>
      </w:r>
      <w:r>
        <w:rPr>
          <w:rFonts w:ascii="楷体" w:eastAsia="楷体" w:cs="仿宋_GB2312"/>
          <w:b/>
          <w:sz w:val="32"/>
          <w:szCs w:val="32"/>
        </w:rPr>
        <w:t>）存在的问题</w:t>
      </w:r>
    </w:p>
    <w:p>
      <w:pPr>
        <w:spacing w:line="640" w:lineRule="exact"/>
        <w:ind w:firstLineChars="200" w:firstLine="640"/>
        <w:rPr>
          <w:rFonts w:ascii="仿宋" w:eastAsia="仿宋"/>
          <w:sz w:val="32"/>
          <w:szCs w:val="32"/>
        </w:rPr>
      </w:pPr>
      <w:r>
        <w:rPr>
          <w:rFonts w:ascii="仿宋" w:eastAsia="仿宋" w:hint="eastAsia"/>
          <w:sz w:val="32"/>
          <w:szCs w:val="32"/>
        </w:rPr>
        <w:t>由于项目责任单位不易考评，项目开展进度的跟踪及监管有待进一步加强。</w:t>
      </w:r>
    </w:p>
    <w:p>
      <w:pPr>
        <w:adjustRightInd w:val="0"/>
        <w:snapToGrid w:val="0"/>
        <w:spacing w:line="600" w:lineRule="exact"/>
        <w:ind w:firstLine="720"/>
        <w:rPr>
          <w:rFonts w:ascii="楷体" w:eastAsia="楷体" w:cs="仿宋_GB2312"/>
          <w:b/>
          <w:sz w:val="32"/>
          <w:szCs w:val="32"/>
        </w:rPr>
      </w:pPr>
      <w:r>
        <w:rPr>
          <w:rFonts w:ascii="楷体" w:eastAsia="楷体" w:cs="仿宋_GB2312" w:hint="eastAsia"/>
          <w:b/>
          <w:sz w:val="32"/>
          <w:szCs w:val="32"/>
        </w:rPr>
        <w:t>（三）相关建议</w:t>
      </w:r>
    </w:p>
    <w:p>
      <w:pPr>
        <w:spacing w:line="580" w:lineRule="exact"/>
        <w:ind w:firstLineChars="200" w:firstLine="640"/>
        <w:rPr>
          <w:rFonts w:ascii="仿宋" w:eastAsia="仿宋" w:cs="仿宋_GB2312"/>
          <w:sz w:val="32"/>
          <w:szCs w:val="32"/>
        </w:rPr>
      </w:pPr>
      <w:r>
        <w:rPr>
          <w:rFonts w:ascii="仿宋" w:eastAsia="仿宋" w:hint="eastAsia"/>
          <w:sz w:val="32"/>
          <w:szCs w:val="32"/>
          <w:lang w:val="zh-CN"/>
        </w:rPr>
        <w:t>科学规范设置绩效评价指标，</w:t>
      </w:r>
      <w:r>
        <w:rPr>
          <w:rFonts w:ascii="仿宋" w:eastAsia="仿宋" w:cs="仿宋_GB2312" w:hint="eastAsia"/>
          <w:sz w:val="32"/>
          <w:szCs w:val="32"/>
        </w:rPr>
        <w:t>在资金执行过程中，与项目建设单位建立长效考评机制，以保证项目建设单位按进度完成分解的绩效目标。</w:t>
      </w:r>
    </w:p>
    <w:p>
      <w:pPr>
        <w:spacing w:line="580" w:lineRule="exact"/>
        <w:ind w:firstLineChars="200" w:firstLine="640"/>
        <w:rPr>
          <w:rFonts w:ascii="仿宋" w:eastAsia="仿宋" w:cs="仿宋_GB2312"/>
          <w:sz w:val="32"/>
          <w:szCs w:val="32"/>
        </w:rPr>
      </w:pPr>
    </w:p>
    <w:p>
      <w:pPr>
        <w:spacing w:line="580" w:lineRule="exact"/>
        <w:ind w:firstLineChars="200" w:firstLine="640"/>
        <w:rPr>
          <w:rFonts w:ascii="仿宋" w:eastAsia="仿宋" w:cs="仿宋_GB2312"/>
          <w:sz w:val="32"/>
          <w:szCs w:val="32"/>
        </w:rPr>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spacing w:line="580" w:lineRule="exact"/>
        <w:jc w:val="center"/>
        <w:rPr>
          <w:rFonts w:ascii="黑体" w:eastAsia="黑体" w:cs="方正小标宋简体"/>
          <w:sz w:val="44"/>
          <w:szCs w:val="44"/>
        </w:rPr>
      </w:pPr>
      <w:r>
        <w:rPr>
          <w:rFonts w:ascii="黑体" w:eastAsia="黑体" w:cs="方正小标宋简体" w:hint="eastAsia"/>
          <w:sz w:val="44"/>
          <w:szCs w:val="44"/>
        </w:rPr>
        <w:t>2021年市级少数民族发展资金</w:t>
      </w:r>
    </w:p>
    <w:p>
      <w:pPr>
        <w:pStyle w:val="15"/>
        <w:spacing w:beforeLines="0" w:before="93"/>
        <w:jc w:val="center"/>
        <w:rPr>
          <w:rFonts w:ascii="黑体" w:eastAsia="黑体" w:cs="方正小标宋简体"/>
          <w:sz w:val="44"/>
          <w:szCs w:val="44"/>
        </w:rPr>
      </w:pPr>
      <w:r>
        <w:rPr>
          <w:rFonts w:ascii="黑体" w:eastAsia="黑体" w:cs="方正小标宋简体" w:hint="eastAsia"/>
          <w:sz w:val="44"/>
          <w:szCs w:val="44"/>
        </w:rPr>
        <w:t>项目支出绩效评价报告</w:t>
      </w:r>
    </w:p>
    <w:p>
      <w:pPr>
        <w:spacing w:line="580" w:lineRule="exact"/>
        <w:ind w:firstLineChars="200" w:firstLine="640"/>
        <w:rPr>
          <w:rFonts w:ascii="黑体" w:eastAsia="黑体" w:cs="仿宋_GB2312"/>
          <w:sz w:val="32"/>
          <w:szCs w:val="32"/>
        </w:rPr>
      </w:pPr>
    </w:p>
    <w:p>
      <w:pPr>
        <w:spacing w:line="580" w:lineRule="exact"/>
        <w:ind w:firstLineChars="200" w:firstLine="640"/>
        <w:rPr>
          <w:rFonts w:ascii="黑体" w:eastAsia="黑体" w:cs="仿宋_GB2312"/>
          <w:sz w:val="32"/>
          <w:szCs w:val="32"/>
        </w:rPr>
      </w:pPr>
      <w:r>
        <w:rPr>
          <w:rFonts w:ascii="黑体" w:eastAsia="黑体" w:cs="仿宋_GB2312" w:hint="eastAsia"/>
          <w:sz w:val="32"/>
          <w:szCs w:val="32"/>
        </w:rPr>
        <w:t>一</w:t>
      </w:r>
      <w:r>
        <w:rPr>
          <w:rFonts w:ascii="黑体" w:eastAsia="黑体" w:cs="仿宋_GB2312"/>
          <w:sz w:val="32"/>
          <w:szCs w:val="32"/>
        </w:rPr>
        <w:t>、</w:t>
      </w:r>
      <w:r>
        <w:rPr>
          <w:rFonts w:ascii="黑体" w:eastAsia="黑体" w:cs="仿宋_GB2312" w:hint="eastAsia"/>
          <w:sz w:val="32"/>
          <w:szCs w:val="32"/>
        </w:rPr>
        <w:t>项目</w:t>
      </w:r>
      <w:r>
        <w:rPr>
          <w:rFonts w:ascii="黑体" w:eastAsia="黑体" w:cs="仿宋_GB2312"/>
          <w:sz w:val="32"/>
          <w:szCs w:val="32"/>
        </w:rPr>
        <w:t>概况</w:t>
      </w:r>
    </w:p>
    <w:p>
      <w:pPr>
        <w:spacing w:line="580" w:lineRule="exact"/>
        <w:ind w:firstLineChars="200" w:firstLine="640"/>
        <w:rPr>
          <w:rFonts w:ascii="楷体" w:eastAsia="楷体" w:cs="仿宋_GB2312"/>
          <w:b/>
          <w:sz w:val="32"/>
          <w:szCs w:val="32"/>
        </w:rPr>
      </w:pPr>
      <w:r>
        <w:rPr>
          <w:rFonts w:ascii="楷体" w:eastAsia="楷体" w:cs="仿宋_GB2312"/>
          <w:b/>
          <w:sz w:val="32"/>
          <w:szCs w:val="32"/>
        </w:rPr>
        <w:t>（一）</w:t>
      </w:r>
      <w:r>
        <w:rPr>
          <w:rFonts w:ascii="楷体" w:eastAsia="楷体" w:cs="仿宋_GB2312" w:hint="eastAsia"/>
          <w:b/>
          <w:sz w:val="32"/>
          <w:szCs w:val="32"/>
        </w:rPr>
        <w:t>项目</w:t>
      </w:r>
      <w:r>
        <w:rPr>
          <w:rFonts w:ascii="楷体" w:eastAsia="楷体" w:cs="仿宋_GB2312"/>
          <w:b/>
          <w:sz w:val="32"/>
          <w:szCs w:val="32"/>
        </w:rPr>
        <w:t>基本情况</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1.项目主管部门（单位）在该项目管理中的职能</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维护民族宗教领域和谐稳定、提升民族宗教干部业务能力、少数民族群众自我发展能力，推进攀枝花市民族团结进步事业。</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2.项目立项、资金申报的依据</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根据（攀财资农〔2021〕42号），结合市委、市政府对民族工作的总体要求和2021年民族工作重点，为维护我市民族宗教领域和谐稳定、提升民族宗教干部业务能力、少数民族群众自我发展能力，推进攀枝花市民族团结进步事业。</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3.资金管理办法制定情况，资金支持具体项目的条件、范围与支持方式概况。</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按照年度工作要点、工作计划，有序推进我委少数民族发展工作，具体分为五项：一是困难群众应急补助及慰问；民族宗教风险防范及矛盾调处，城市社区民族工作试点经费。二是少数民族重大节日补助经费。三是民族地区实用技术、劳动技能培训；民族宗教工作培训和民宗干部学校运行经费。四是两资项目管理、培训相关经费。五是民族团结进步创建经费。实时对经费使用情况进行监督管理，确保工作经费落到实处，取得实效。</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4.资金分配的原则及考虑因素。</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按照（攀财资农〔2021〕42号），结合市委、市政府对民族工作的总体要求和2021年民族工作重点，维护民族宗教领域和谐稳定、提升民族宗教干部业务能力、少数民族群众自我发展能力，推进攀枝花市民族团结进步事业。</w:t>
      </w:r>
    </w:p>
    <w:p>
      <w:pPr>
        <w:spacing w:line="580" w:lineRule="exact"/>
        <w:ind w:firstLineChars="200" w:firstLine="640"/>
        <w:rPr>
          <w:rFonts w:ascii="楷体" w:eastAsia="楷体" w:cs="仿宋_GB2312"/>
          <w:b/>
          <w:sz w:val="32"/>
          <w:szCs w:val="32"/>
        </w:rPr>
      </w:pPr>
      <w:r>
        <w:rPr>
          <w:rFonts w:ascii="楷体" w:eastAsia="楷体" w:cs="仿宋_GB2312"/>
          <w:b/>
          <w:sz w:val="32"/>
          <w:szCs w:val="32"/>
        </w:rPr>
        <w:t>（二）</w:t>
      </w:r>
      <w:r>
        <w:rPr>
          <w:rFonts w:ascii="楷体" w:eastAsia="楷体" w:cs="仿宋_GB2312" w:hint="eastAsia"/>
          <w:b/>
          <w:sz w:val="32"/>
          <w:szCs w:val="32"/>
        </w:rPr>
        <w:t>项目绩效目标</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1.项目主要内容。</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根据（攀财资农〔2021〕42号），结合市委、市政府对民族工作的总体要求和2021年民族工作重点，主要分为：一是民族地区、城市社区特殊困难群众应急补助、慰问费，民族宗教领域风险防范及矛盾调处，城市社区民族工作创新试点等经费；二是民族地区实用技术、劳动技能培训，民族宗教工作培训和民族宗教干部学校运行经费；三是两资项目管理、培训费；四是民族团结进步创建经费；五是市民族宗教委电子政务内网机房建设项目经费。</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2.项目应实现的具体绩效目标</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一是开展民族地区、城市社区特殊困难群众应急补助及春节慰问40余人次；开展民族宗教领域风险防范排查及民族工作“十四五”规划编制，民族宗教领域矛盾纠纷调处，民族地区禁毒防艾；市级城市社区民族工作创新试点，城市少数民族流动人口服务管理、民族宗教工作宣传等经费20万元。二是开展民族地区重要产业和特色产业科技实用技术培训；组建科技成果转化专家创新团队示范基地；开展民宗系统干部和乡（镇）、村（社区）民族宗教工作干部培训80人次；民宗干部学校运行保障经费，临聘人员劳务费、保险费等43.5万元。三是资金用于两资项目公示、两资宣传、两资管理业务工作会议、项目绩效考评、项目指导调研、档案数字化、项目管理培训等5万元。四是举办一期全市民族团结进步创建工作培训班50人左右；开展民族团结进步创建工作和命名第四批全市民族团结进步示范单位等相关工作经费12万元。五是按照市电子政务内网建设相关要求和标准，实施电子政务内网机房建设、配备安装机房设备设施16.5万元。以加快我市民族地区经济社会发展，提升民族宗教干部业务能力、少数民族群众自我发展能力，推进攀枝花市民族团结进步事业。</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3.分析评价申报内容是否与实际相符，申报目标是否合理可行。</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项目分析评价均来源项目实际情况，与实际相符，目标合理可行。</w:t>
      </w:r>
    </w:p>
    <w:p>
      <w:pPr>
        <w:spacing w:line="580" w:lineRule="exact"/>
        <w:ind w:firstLineChars="200" w:firstLine="640"/>
        <w:rPr>
          <w:rFonts w:ascii="楷体" w:eastAsia="楷体" w:cs="仿宋_GB2312"/>
          <w:b/>
          <w:sz w:val="32"/>
          <w:szCs w:val="32"/>
        </w:rPr>
      </w:pPr>
      <w:r>
        <w:rPr>
          <w:rFonts w:ascii="楷体" w:eastAsia="楷体" w:cs="仿宋_GB2312"/>
          <w:b/>
          <w:sz w:val="32"/>
          <w:szCs w:val="32"/>
        </w:rPr>
        <w:t>（</w:t>
      </w:r>
      <w:r>
        <w:rPr>
          <w:rFonts w:ascii="楷体" w:eastAsia="楷体" w:cs="仿宋_GB2312" w:hint="eastAsia"/>
          <w:b/>
          <w:sz w:val="32"/>
          <w:szCs w:val="32"/>
        </w:rPr>
        <w:t>三</w:t>
      </w:r>
      <w:r>
        <w:rPr>
          <w:rFonts w:ascii="楷体" w:eastAsia="楷体" w:cs="仿宋_GB2312"/>
          <w:b/>
          <w:sz w:val="32"/>
          <w:szCs w:val="32"/>
        </w:rPr>
        <w:t>）</w:t>
      </w:r>
      <w:r>
        <w:rPr>
          <w:rFonts w:ascii="楷体" w:eastAsia="楷体" w:cs="仿宋_GB2312" w:hint="eastAsia"/>
          <w:b/>
          <w:sz w:val="32"/>
          <w:szCs w:val="32"/>
        </w:rPr>
        <w:t>项目自评步骤及方法</w:t>
      </w:r>
    </w:p>
    <w:p>
      <w:pPr>
        <w:spacing w:line="580" w:lineRule="exact"/>
        <w:ind w:firstLineChars="200" w:firstLine="640"/>
        <w:rPr>
          <w:rFonts w:ascii="仿宋" w:eastAsia="仿宋" w:cs="仿宋_GB2312"/>
          <w:sz w:val="32"/>
          <w:szCs w:val="32"/>
        </w:rPr>
      </w:pPr>
      <w:r>
        <w:rPr>
          <w:rFonts w:ascii="仿宋" w:eastAsia="仿宋" w:cs="仿宋_GB2312"/>
          <w:sz w:val="32"/>
          <w:szCs w:val="32"/>
        </w:rPr>
        <w:t>项目通过年初</w:t>
      </w:r>
      <w:r>
        <w:rPr>
          <w:rFonts w:ascii="仿宋" w:eastAsia="仿宋" w:cs="仿宋_GB2312" w:hint="eastAsia"/>
          <w:sz w:val="32"/>
          <w:szCs w:val="32"/>
        </w:rPr>
        <w:t>预算事前绩效评估，对项目编制了绩效目标，预算执行过程中，年中对该项目开展了事中绩效监控，年终执行完毕后，对该项目开展了绩效目标完成情况梳理，填写项目支出绩效评价得分表，并进行了绩效分析，找出存在问题并进行整改。</w:t>
      </w:r>
    </w:p>
    <w:p>
      <w:pPr>
        <w:adjustRightInd w:val="0"/>
        <w:snapToGrid w:val="0"/>
        <w:spacing w:line="600" w:lineRule="exact"/>
        <w:ind w:firstLine="720"/>
        <w:rPr>
          <w:rFonts w:ascii="黑体" w:eastAsia="黑体" w:cs="仿宋_GB2312"/>
          <w:sz w:val="32"/>
          <w:szCs w:val="32"/>
        </w:rPr>
      </w:pPr>
      <w:r>
        <w:rPr>
          <w:rFonts w:ascii="黑体" w:eastAsia="黑体" w:cs="仿宋_GB2312" w:hint="eastAsia"/>
          <w:sz w:val="32"/>
          <w:szCs w:val="32"/>
        </w:rPr>
        <w:t>二、项目资金申报及使用情况</w:t>
      </w:r>
    </w:p>
    <w:p>
      <w:pPr>
        <w:spacing w:line="580" w:lineRule="exact"/>
        <w:ind w:firstLineChars="200" w:firstLine="640"/>
        <w:rPr>
          <w:rFonts w:ascii="楷体" w:eastAsia="楷体" w:cs="仿宋_GB2312"/>
          <w:b/>
          <w:sz w:val="32"/>
          <w:szCs w:val="32"/>
        </w:rPr>
      </w:pPr>
      <w:r>
        <w:rPr>
          <w:rFonts w:ascii="楷体" w:eastAsia="楷体" w:cs="仿宋_GB2312"/>
          <w:b/>
          <w:sz w:val="32"/>
          <w:szCs w:val="32"/>
        </w:rPr>
        <w:t>（一）</w:t>
      </w:r>
      <w:r>
        <w:rPr>
          <w:rFonts w:ascii="楷体" w:eastAsia="楷体" w:cs="仿宋_GB2312" w:hint="eastAsia"/>
          <w:b/>
          <w:sz w:val="32"/>
          <w:szCs w:val="32"/>
        </w:rPr>
        <w:t>项目资金申报及批复情况</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2021年初预算未申请该笔资金预算，年初预算未批复该笔资金，年中根据市财政、市两资办审核通过下发的（攀财资农〔2021〕42号）追加预算103万元，后通过调减指标划拨至其他单位6万元。</w:t>
      </w:r>
    </w:p>
    <w:p>
      <w:pPr>
        <w:spacing w:line="580" w:lineRule="exact"/>
        <w:ind w:firstLineChars="200" w:firstLine="640"/>
        <w:rPr>
          <w:rFonts w:ascii="楷体" w:eastAsia="楷体" w:cs="仿宋_GB2312"/>
          <w:b/>
          <w:sz w:val="32"/>
          <w:szCs w:val="32"/>
        </w:rPr>
      </w:pPr>
      <w:r>
        <w:rPr>
          <w:rFonts w:ascii="楷体" w:eastAsia="楷体" w:cs="仿宋_GB2312" w:hint="eastAsia"/>
          <w:b/>
          <w:sz w:val="32"/>
          <w:szCs w:val="32"/>
        </w:rPr>
        <w:t>（二）资金计划、到位及使用情况</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1.资金计划。2021年初未申请该笔资金预算，年中计划市级财政资金追加预算到位103万元，后调减指标划拨至其他单位6万元，年底调减指标1</w:t>
      </w:r>
      <w:r>
        <w:rPr>
          <w:rFonts w:ascii="仿宋" w:eastAsia="仿宋" w:cs="仿宋_GB2312"/>
          <w:sz w:val="32"/>
          <w:szCs w:val="32"/>
        </w:rPr>
        <w:t>3.272</w:t>
      </w:r>
      <w:r>
        <w:rPr>
          <w:rFonts w:ascii="仿宋" w:eastAsia="仿宋" w:cs="仿宋_GB2312" w:hint="eastAsia"/>
          <w:sz w:val="32"/>
          <w:szCs w:val="32"/>
        </w:rPr>
        <w:t>万元。</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2.资金到位。2021年年中追加预算市本级资金97万元（其他农林水支出2139999），年底追减指标1</w:t>
      </w:r>
      <w:r>
        <w:rPr>
          <w:rFonts w:ascii="仿宋" w:eastAsia="仿宋" w:cs="仿宋_GB2312"/>
          <w:sz w:val="32"/>
          <w:szCs w:val="32"/>
        </w:rPr>
        <w:t>3.272</w:t>
      </w:r>
      <w:r>
        <w:rPr>
          <w:rFonts w:ascii="仿宋" w:eastAsia="仿宋" w:cs="仿宋_GB2312" w:hint="eastAsia"/>
          <w:sz w:val="32"/>
          <w:szCs w:val="32"/>
        </w:rPr>
        <w:t>万元，资金到位共计8</w:t>
      </w:r>
      <w:r>
        <w:rPr>
          <w:rFonts w:ascii="仿宋" w:eastAsia="仿宋" w:cs="仿宋_GB2312"/>
          <w:sz w:val="32"/>
          <w:szCs w:val="32"/>
        </w:rPr>
        <w:t>3.728</w:t>
      </w:r>
      <w:r>
        <w:rPr>
          <w:rFonts w:ascii="仿宋" w:eastAsia="仿宋" w:cs="仿宋_GB2312" w:hint="eastAsia"/>
          <w:sz w:val="32"/>
          <w:szCs w:val="32"/>
        </w:rPr>
        <w:t>万元，资金到位率100%。</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3.资金使用。一是民族地区、城市社区特殊困难群众应急补助、慰问费；民族宗教领域风险防范及矛盾调处；城市社区民族工作创新试点等经费8.728万元。主要用于慰问谜塘村困难户24户，开展民族地区禁毒防艾、森林防火宣传，开展城市社区民族工作试点等经费支出。</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二是民族地区实用技术、劳动技能培训；民族宗教工作培训和民族宗教干部学校运行经费43.5万元。主要用于开展民族地区实用技术培训和乡村振兴驻村第一书记培训、民族宗教干部培训2000人次；建立科技成果转换专家创新团队示范基地2个；民宗干部学校运行保障等经费支出。</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三是两资项目管理、培训相关经费3.36万元。主要用于完成项目公示、宣传、会议、绩效考评、调研、培训等6余次，进行两资档案数字化等项目经费开支。</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四是民族团结进步创建经费11.64万元。主要用于铸牢中华民族共同体意识培训55人；开展全市民族团结进步示范单位评审工作等。</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五是市民族宗教委电子政务内网机房建设项目16.5万元。主要用于电子政务内网建设，包括电子政务内网机房建设、配备安装机房设备设施。</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分项数据与预算计划一致，主要是结合工作具体情况安排，然由于年底财政紧张，部分项目未能及时拨付，部分指标由财政年底收回。全年预算执行率为86%。</w:t>
      </w:r>
    </w:p>
    <w:p>
      <w:pPr>
        <w:spacing w:line="580" w:lineRule="exact"/>
        <w:ind w:firstLineChars="200" w:firstLine="640"/>
        <w:rPr>
          <w:rFonts w:ascii="楷体" w:eastAsia="楷体" w:cs="仿宋_GB2312"/>
          <w:b/>
          <w:sz w:val="32"/>
          <w:szCs w:val="32"/>
        </w:rPr>
      </w:pPr>
      <w:r>
        <w:rPr>
          <w:rFonts w:ascii="楷体" w:eastAsia="楷体" w:cs="仿宋_GB2312"/>
          <w:b/>
          <w:sz w:val="32"/>
          <w:szCs w:val="32"/>
        </w:rPr>
        <w:t>（三）</w:t>
      </w:r>
      <w:r>
        <w:rPr>
          <w:rFonts w:ascii="楷体" w:eastAsia="楷体" w:cs="仿宋_GB2312" w:hint="eastAsia"/>
          <w:b/>
          <w:sz w:val="32"/>
          <w:szCs w:val="32"/>
        </w:rPr>
        <w:t>项目财务管理情况。</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单位财务管理制度健全，严格执行财务管理制度，账务处理及时，会计核算规范。</w:t>
      </w:r>
    </w:p>
    <w:p>
      <w:pPr>
        <w:adjustRightInd w:val="0"/>
        <w:snapToGrid w:val="0"/>
        <w:spacing w:line="600" w:lineRule="exact"/>
        <w:ind w:firstLine="720"/>
        <w:rPr>
          <w:rFonts w:ascii="黑体" w:eastAsia="黑体" w:cs="仿宋_GB2312"/>
          <w:sz w:val="32"/>
          <w:szCs w:val="32"/>
        </w:rPr>
      </w:pPr>
      <w:r>
        <w:rPr>
          <w:rFonts w:ascii="黑体" w:eastAsia="黑体" w:cs="仿宋_GB2312" w:hint="eastAsia"/>
          <w:sz w:val="32"/>
          <w:szCs w:val="32"/>
        </w:rPr>
        <w:t>三、项目实施及管理情况</w:t>
      </w:r>
    </w:p>
    <w:p>
      <w:pPr>
        <w:adjustRightInd w:val="0"/>
        <w:snapToGrid w:val="0"/>
        <w:spacing w:line="600" w:lineRule="exact"/>
        <w:ind w:firstLine="720"/>
        <w:rPr>
          <w:rFonts w:ascii="楷体_GB2312" w:eastAsia="楷体_GB2312"/>
          <w:b/>
          <w:sz w:val="32"/>
          <w:szCs w:val="32"/>
          <w:lang w:val="zh-CN"/>
        </w:rPr>
      </w:pPr>
      <w:r>
        <w:rPr>
          <w:rFonts w:ascii="楷体" w:eastAsia="楷体" w:cs="仿宋_GB2312" w:hint="eastAsia"/>
          <w:b/>
          <w:sz w:val="32"/>
          <w:szCs w:val="32"/>
        </w:rPr>
        <w:t>（一）项目组织架构及实施流程。</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按照年度工作要点、工作计划，结合市委、市政府对民族工作的总体要求和2021年民族工作重点，拟定2</w:t>
      </w:r>
      <w:r>
        <w:rPr>
          <w:rFonts w:ascii="仿宋" w:eastAsia="仿宋" w:cs="仿宋_GB2312"/>
          <w:sz w:val="32"/>
          <w:szCs w:val="32"/>
        </w:rPr>
        <w:t>021</w:t>
      </w:r>
      <w:r>
        <w:rPr>
          <w:rFonts w:ascii="仿宋" w:eastAsia="仿宋" w:cs="仿宋_GB2312" w:hint="eastAsia"/>
          <w:sz w:val="32"/>
          <w:szCs w:val="32"/>
        </w:rPr>
        <w:t>市级少数民族发展金有关申报项目，并报委党组会、市两资领导小组审议，审议通过后按照攀枝花市2</w:t>
      </w:r>
      <w:r>
        <w:rPr>
          <w:rFonts w:ascii="仿宋" w:eastAsia="仿宋" w:cs="仿宋_GB2312"/>
          <w:sz w:val="32"/>
          <w:szCs w:val="32"/>
        </w:rPr>
        <w:t>021</w:t>
      </w:r>
      <w:r>
        <w:rPr>
          <w:rFonts w:ascii="仿宋" w:eastAsia="仿宋" w:cs="仿宋_GB2312" w:hint="eastAsia"/>
          <w:sz w:val="32"/>
          <w:szCs w:val="32"/>
        </w:rPr>
        <w:t>市级少数民族发展金经费使用范围的要求。确定资金拨付分配方案。</w:t>
      </w:r>
    </w:p>
    <w:p>
      <w:pPr>
        <w:spacing w:line="580" w:lineRule="exact"/>
        <w:ind w:firstLineChars="200" w:firstLine="640"/>
        <w:rPr>
          <w:rFonts w:ascii="楷体" w:eastAsia="楷体" w:cs="仿宋_GB2312"/>
          <w:b/>
          <w:sz w:val="32"/>
          <w:szCs w:val="32"/>
        </w:rPr>
      </w:pPr>
      <w:r>
        <w:rPr>
          <w:rFonts w:ascii="楷体" w:eastAsia="楷体" w:cs="仿宋_GB2312" w:hint="eastAsia"/>
          <w:b/>
          <w:sz w:val="32"/>
          <w:szCs w:val="32"/>
        </w:rPr>
        <w:t>（二）项目管理情况。</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有序推进我委少数民族发展工作，推进攀枝花市民族团结进步事业，并严格按照两资管理小组批复的2</w:t>
      </w:r>
      <w:r>
        <w:rPr>
          <w:rFonts w:ascii="仿宋" w:eastAsia="仿宋" w:cs="仿宋_GB2312"/>
          <w:sz w:val="32"/>
          <w:szCs w:val="32"/>
        </w:rPr>
        <w:t>021</w:t>
      </w:r>
      <w:r>
        <w:rPr>
          <w:rFonts w:ascii="仿宋" w:eastAsia="仿宋" w:cs="仿宋_GB2312" w:hint="eastAsia"/>
          <w:sz w:val="32"/>
          <w:szCs w:val="32"/>
        </w:rPr>
        <w:t>市级少数民族发展金使用范围和绩效目标，严格按相关要求使用资金。</w:t>
      </w:r>
    </w:p>
    <w:p>
      <w:pPr>
        <w:spacing w:line="580" w:lineRule="exact"/>
        <w:ind w:firstLineChars="200" w:firstLine="640"/>
        <w:rPr>
          <w:rFonts w:ascii="楷体" w:eastAsia="楷体" w:cs="仿宋_GB2312"/>
          <w:b/>
          <w:sz w:val="32"/>
          <w:szCs w:val="32"/>
        </w:rPr>
      </w:pPr>
      <w:r>
        <w:rPr>
          <w:rFonts w:ascii="楷体" w:eastAsia="楷体" w:cs="仿宋_GB2312" w:hint="eastAsia"/>
          <w:b/>
          <w:sz w:val="32"/>
          <w:szCs w:val="32"/>
        </w:rPr>
        <w:t>（三）项目监管情况。</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对经费使用情况进行了定时不定时的监督管理，确保工作经费落到实处，取得实效。</w:t>
      </w:r>
    </w:p>
    <w:p>
      <w:pPr>
        <w:adjustRightInd w:val="0"/>
        <w:snapToGrid w:val="0"/>
        <w:spacing w:line="600" w:lineRule="exact"/>
        <w:ind w:firstLineChars="200" w:firstLine="640"/>
        <w:rPr>
          <w:rFonts w:ascii="仿宋_GB2312" w:eastAsia="仿宋_GB2312"/>
          <w:sz w:val="32"/>
          <w:szCs w:val="32"/>
          <w:lang w:val="zh-CN"/>
        </w:rPr>
      </w:pPr>
      <w:r>
        <w:rPr>
          <w:rFonts w:ascii="黑体" w:eastAsia="黑体" w:hint="eastAsia"/>
          <w:sz w:val="32"/>
          <w:szCs w:val="32"/>
        </w:rPr>
        <w:t>四、项目绩效情况</w:t>
      </w:r>
      <w:r>
        <w:rPr>
          <w:rFonts w:ascii="仿宋_GB2312" w:eastAsia="仿宋_GB2312"/>
          <w:sz w:val="32"/>
          <w:szCs w:val="32"/>
          <w:lang w:val="zh-CN"/>
        </w:rPr>
        <w:tab/>
      </w:r>
    </w:p>
    <w:p>
      <w:pPr>
        <w:adjustRightInd w:val="0"/>
        <w:snapToGrid w:val="0"/>
        <w:spacing w:line="600" w:lineRule="exact"/>
        <w:ind w:left="640"/>
        <w:rPr>
          <w:rFonts w:ascii="仿宋_GB2312" w:eastAsia="仿宋_GB2312"/>
          <w:sz w:val="32"/>
          <w:szCs w:val="32"/>
          <w:lang w:val="zh-CN"/>
        </w:rPr>
      </w:pPr>
      <w:r>
        <w:rPr>
          <w:rFonts w:ascii="楷体" w:eastAsia="楷体" w:cs="仿宋_GB2312" w:hint="eastAsia"/>
          <w:b/>
          <w:sz w:val="32"/>
          <w:szCs w:val="32"/>
        </w:rPr>
        <w:t>（一）项目完成情况</w:t>
      </w:r>
    </w:p>
    <w:p>
      <w:pPr>
        <w:adjustRightInd w:val="0"/>
        <w:snapToGrid w:val="0"/>
        <w:spacing w:line="600" w:lineRule="exact"/>
        <w:ind w:firstLine="720"/>
        <w:rPr>
          <w:rFonts w:ascii="仿宋" w:eastAsia="仿宋" w:cs="仿宋_GB2312"/>
          <w:sz w:val="32"/>
          <w:szCs w:val="32"/>
        </w:rPr>
      </w:pPr>
      <w:r>
        <w:rPr>
          <w:rFonts w:ascii="仿宋" w:eastAsia="仿宋" w:cs="仿宋_GB2312" w:hint="eastAsia"/>
          <w:sz w:val="32"/>
          <w:szCs w:val="32"/>
        </w:rPr>
        <w:t>慰问谜塘村困难户24户，开展民族地区禁毒防艾、森林防火宣传，开展城市社区民族工作试点等经费支出8.728万元；开展民族地区实用技术培训和乡村振兴驻村第一书记培训、民族宗教干部培训2000人次，建立科技成果转换专家创新团队示范基地2个，民宗干部学校运行保障等经费支出43.5万元；完成项目公示、宣传、会议、绩效考评、调研、培训等6余次，进行两资档案数字化等项目经费开支3.36万元；铸牢中华民族共同体意识培训55人，开展全市民族团结进步示范单位评审工作等11.64万元；电子政务内网建设，包括电子政务内网机房建设、配备安装机房设备设施16.5万元。按照年度工作要点、工作计划，结合市委、市政府对民族工作的总体要求和2021年民族工作重点，基本完成了2021年市级少数民族发展金年初的绩效目标，只有部分项目然由于年底财政紧张，未能及时拨付。</w:t>
      </w:r>
    </w:p>
    <w:p>
      <w:pPr>
        <w:adjustRightInd w:val="0"/>
        <w:snapToGrid w:val="0"/>
        <w:spacing w:line="600" w:lineRule="exact"/>
        <w:ind w:firstLine="720"/>
        <w:rPr>
          <w:rFonts w:ascii="楷体" w:eastAsia="楷体" w:cs="仿宋_GB2312"/>
          <w:b/>
          <w:sz w:val="32"/>
          <w:szCs w:val="32"/>
        </w:rPr>
      </w:pPr>
      <w:r>
        <w:rPr>
          <w:rFonts w:ascii="楷体" w:eastAsia="楷体" w:cs="仿宋_GB2312" w:hint="eastAsia"/>
          <w:b/>
          <w:sz w:val="32"/>
          <w:szCs w:val="32"/>
        </w:rPr>
        <w:t>（二）项目效益情况</w:t>
      </w:r>
    </w:p>
    <w:p>
      <w:pPr>
        <w:adjustRightInd w:val="0"/>
        <w:snapToGrid w:val="0"/>
        <w:spacing w:line="600" w:lineRule="exact"/>
        <w:ind w:firstLine="720"/>
        <w:rPr>
          <w:rFonts w:ascii="仿宋" w:eastAsia="仿宋"/>
          <w:sz w:val="32"/>
          <w:szCs w:val="32"/>
        </w:rPr>
      </w:pPr>
      <w:r>
        <w:rPr>
          <w:rFonts w:ascii="仿宋" w:eastAsia="仿宋" w:hint="eastAsia"/>
          <w:sz w:val="32"/>
          <w:szCs w:val="32"/>
        </w:rPr>
        <w:t>进一步维护了我市民族宗教领域和谐稳定、提升民族宗教干部业务能力、少数民族群众自我发展能力，推进攀枝花市民族团结进步事业。</w:t>
      </w:r>
    </w:p>
    <w:p>
      <w:pPr>
        <w:adjustRightInd w:val="0"/>
        <w:snapToGrid w:val="0"/>
        <w:spacing w:line="600" w:lineRule="exact"/>
        <w:ind w:firstLine="720"/>
        <w:rPr>
          <w:rFonts w:ascii="黑体" w:eastAsia="黑体"/>
          <w:sz w:val="32"/>
          <w:szCs w:val="32"/>
        </w:rPr>
      </w:pPr>
      <w:r>
        <w:rPr>
          <w:rFonts w:ascii="黑体" w:eastAsia="黑体" w:hint="eastAsia"/>
          <w:sz w:val="32"/>
          <w:szCs w:val="32"/>
        </w:rPr>
        <w:t>五、评价结论及建议</w:t>
      </w:r>
    </w:p>
    <w:p>
      <w:pPr>
        <w:spacing w:line="580" w:lineRule="exact"/>
        <w:ind w:firstLineChars="200" w:firstLine="640"/>
        <w:rPr>
          <w:rFonts w:ascii="楷体" w:eastAsia="楷体" w:cs="仿宋_GB2312"/>
          <w:b/>
          <w:sz w:val="32"/>
          <w:szCs w:val="32"/>
        </w:rPr>
      </w:pPr>
      <w:r>
        <w:rPr>
          <w:rFonts w:ascii="楷体" w:eastAsia="楷体" w:cs="仿宋_GB2312"/>
          <w:b/>
          <w:sz w:val="32"/>
          <w:szCs w:val="32"/>
        </w:rPr>
        <w:t>（一）评价结论</w:t>
      </w:r>
    </w:p>
    <w:p>
      <w:pPr>
        <w:pStyle w:val="15"/>
        <w:spacing w:beforeLines="0" w:before="93"/>
        <w:ind w:firstLineChars="200" w:firstLine="640"/>
        <w:jc w:val="left"/>
        <w:rPr>
          <w:rFonts w:ascii="仿宋" w:eastAsia="仿宋"/>
          <w:kern w:val="2"/>
          <w:sz w:val="32"/>
          <w:szCs w:val="32"/>
        </w:rPr>
      </w:pPr>
      <w:r>
        <w:rPr>
          <w:rFonts w:ascii="仿宋" w:eastAsia="仿宋" w:hint="eastAsia"/>
          <w:kern w:val="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spacing w:line="580" w:lineRule="exact"/>
        <w:ind w:firstLineChars="200" w:firstLine="640"/>
        <w:rPr>
          <w:rFonts w:ascii="楷体" w:eastAsia="楷体" w:cs="仿宋_GB2312"/>
          <w:b/>
          <w:sz w:val="32"/>
          <w:szCs w:val="32"/>
        </w:rPr>
      </w:pPr>
      <w:r>
        <w:rPr>
          <w:rFonts w:ascii="楷体" w:eastAsia="楷体" w:cs="仿宋_GB2312"/>
          <w:b/>
          <w:sz w:val="32"/>
          <w:szCs w:val="32"/>
        </w:rPr>
        <w:t>（</w:t>
      </w:r>
      <w:r>
        <w:rPr>
          <w:rFonts w:ascii="楷体" w:eastAsia="楷体" w:cs="仿宋_GB2312" w:hint="eastAsia"/>
          <w:b/>
          <w:sz w:val="32"/>
          <w:szCs w:val="32"/>
        </w:rPr>
        <w:t>二</w:t>
      </w:r>
      <w:r>
        <w:rPr>
          <w:rFonts w:ascii="楷体" w:eastAsia="楷体" w:cs="仿宋_GB2312"/>
          <w:b/>
          <w:sz w:val="32"/>
          <w:szCs w:val="32"/>
        </w:rPr>
        <w:t>）存在的问题</w:t>
      </w:r>
    </w:p>
    <w:p>
      <w:pPr>
        <w:adjustRightInd w:val="0"/>
        <w:snapToGrid w:val="0"/>
        <w:spacing w:line="600" w:lineRule="exact"/>
        <w:ind w:firstLine="720"/>
        <w:rPr>
          <w:rFonts w:ascii="仿宋" w:eastAsia="仿宋" w:cs="仿宋_GB2312"/>
          <w:sz w:val="32"/>
          <w:szCs w:val="32"/>
        </w:rPr>
      </w:pPr>
      <w:r>
        <w:rPr>
          <w:rFonts w:ascii="仿宋" w:eastAsia="仿宋" w:cs="仿宋_GB2312" w:hint="eastAsia"/>
          <w:sz w:val="32"/>
          <w:szCs w:val="32"/>
        </w:rPr>
        <w:t>受</w:t>
      </w:r>
      <w:r>
        <w:rPr>
          <w:rFonts w:ascii="仿宋" w:eastAsia="仿宋" w:cs="仿宋_GB2312"/>
          <w:sz w:val="32"/>
          <w:szCs w:val="32"/>
        </w:rPr>
        <w:t>疫情防控等客观原因影响</w:t>
      </w:r>
      <w:r>
        <w:rPr>
          <w:rFonts w:ascii="仿宋" w:eastAsia="仿宋" w:cs="仿宋_GB2312" w:hint="eastAsia"/>
          <w:sz w:val="32"/>
          <w:szCs w:val="32"/>
        </w:rPr>
        <w:t>，</w:t>
      </w:r>
      <w:r>
        <w:rPr>
          <w:rFonts w:ascii="仿宋" w:eastAsia="仿宋" w:cs="仿宋_GB2312"/>
          <w:sz w:val="32"/>
          <w:szCs w:val="32"/>
        </w:rPr>
        <w:t>部分资金使用</w:t>
      </w:r>
      <w:r>
        <w:rPr>
          <w:rFonts w:ascii="仿宋" w:eastAsia="仿宋" w:cs="仿宋_GB2312" w:hint="eastAsia"/>
          <w:sz w:val="32"/>
          <w:szCs w:val="32"/>
        </w:rPr>
        <w:t>滞后，今后</w:t>
      </w:r>
      <w:r>
        <w:rPr>
          <w:rFonts w:ascii="仿宋" w:eastAsia="仿宋" w:cs="仿宋_GB2312"/>
          <w:sz w:val="32"/>
          <w:szCs w:val="32"/>
        </w:rPr>
        <w:t>需进一步提高防风险能力</w:t>
      </w:r>
      <w:r>
        <w:rPr>
          <w:rFonts w:ascii="仿宋" w:eastAsia="仿宋" w:cs="仿宋_GB2312" w:hint="eastAsia"/>
          <w:sz w:val="32"/>
          <w:szCs w:val="32"/>
        </w:rPr>
        <w:t>及风险研判能力。</w:t>
      </w:r>
    </w:p>
    <w:p>
      <w:pPr>
        <w:adjustRightInd w:val="0"/>
        <w:snapToGrid w:val="0"/>
        <w:spacing w:line="600" w:lineRule="exact"/>
        <w:ind w:firstLineChars="200" w:firstLine="640"/>
        <w:rPr>
          <w:rFonts w:ascii="楷体" w:eastAsia="楷体" w:cs="仿宋_GB2312"/>
          <w:b/>
          <w:sz w:val="32"/>
          <w:szCs w:val="32"/>
        </w:rPr>
      </w:pPr>
      <w:r>
        <w:rPr>
          <w:rFonts w:ascii="楷体" w:eastAsia="楷体" w:cs="仿宋_GB2312" w:hint="eastAsia"/>
          <w:b/>
          <w:sz w:val="32"/>
          <w:szCs w:val="32"/>
        </w:rPr>
        <w:t>（三）相关建议</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在资金执行过程中</w:t>
      </w:r>
      <w:r>
        <w:rPr>
          <w:rFonts w:ascii="仿宋" w:eastAsia="仿宋" w:cs="仿宋" w:hint="eastAsia"/>
          <w:sz w:val="32"/>
          <w:szCs w:val="32"/>
        </w:rPr>
        <w:t>，加强与市财政的沟通协调，建议加快专项经费审批流程，避免年底出现扎推支付现象，争取项目资金能及时拨付到位，</w:t>
      </w:r>
      <w:r>
        <w:rPr>
          <w:rFonts w:ascii="仿宋" w:eastAsia="仿宋" w:cs="仿宋_GB2312" w:hint="eastAsia"/>
          <w:sz w:val="32"/>
          <w:szCs w:val="32"/>
        </w:rPr>
        <w:t>以保证项目建设单位按进度完成分解的绩效目标。</w:t>
      </w:r>
    </w:p>
    <w:p>
      <w:pPr>
        <w:pStyle w:val="15"/>
        <w:spacing w:beforeLines="0" w:before="93"/>
        <w:ind w:firstLineChars="200" w:firstLine="600"/>
        <w:jc w:val="left"/>
      </w:pPr>
    </w:p>
    <w:p>
      <w:pPr>
        <w:tabs>
          <w:tab w:val="left" w:pos="312"/>
        </w:tabs>
        <w:spacing w:line="580" w:lineRule="exact"/>
        <w:ind w:firstLineChars="200" w:firstLine="640"/>
        <w:rPr>
          <w:rFonts w:ascii="仿宋" w:eastAsia="仿宋" w:cs="仿宋_GB2312"/>
          <w:sz w:val="32"/>
          <w:szCs w:val="32"/>
        </w:rPr>
      </w:pPr>
    </w:p>
    <w:p>
      <w:pPr>
        <w:tabs>
          <w:tab w:val="left" w:pos="312"/>
        </w:tabs>
        <w:spacing w:line="580" w:lineRule="exact"/>
        <w:ind w:firstLineChars="200" w:firstLine="640"/>
        <w:rPr>
          <w:rFonts w:ascii="仿宋" w:eastAsia="仿宋" w:cs="仿宋_GB2312"/>
          <w:sz w:val="32"/>
          <w:szCs w:val="32"/>
        </w:rPr>
      </w:pPr>
    </w:p>
    <w:p>
      <w:pPr>
        <w:tabs>
          <w:tab w:val="left" w:pos="312"/>
        </w:tabs>
        <w:spacing w:line="580" w:lineRule="exact"/>
        <w:ind w:firstLineChars="200" w:firstLine="640"/>
        <w:rPr>
          <w:rFonts w:ascii="仿宋" w:eastAsia="仿宋" w:cs="仿宋_GB2312"/>
          <w:sz w:val="32"/>
          <w:szCs w:val="32"/>
        </w:rPr>
      </w:pPr>
    </w:p>
    <w:p>
      <w:pPr>
        <w:tabs>
          <w:tab w:val="left" w:pos="312"/>
        </w:tabs>
        <w:spacing w:line="580" w:lineRule="exact"/>
        <w:ind w:firstLineChars="200" w:firstLine="640"/>
        <w:rPr>
          <w:rFonts w:ascii="仿宋" w:eastAsia="仿宋" w:cs="仿宋_GB2312"/>
          <w:sz w:val="32"/>
          <w:szCs w:val="32"/>
        </w:rPr>
      </w:pPr>
    </w:p>
    <w:p>
      <w:pPr>
        <w:tabs>
          <w:tab w:val="left" w:pos="312"/>
        </w:tabs>
        <w:spacing w:line="580" w:lineRule="exact"/>
        <w:ind w:firstLineChars="200" w:firstLine="640"/>
        <w:rPr>
          <w:rFonts w:ascii="仿宋" w:eastAsia="仿宋" w:cs="仿宋_GB2312"/>
          <w:sz w:val="32"/>
          <w:szCs w:val="32"/>
        </w:rPr>
      </w:pPr>
    </w:p>
    <w:p>
      <w:pPr>
        <w:tabs>
          <w:tab w:val="left" w:pos="312"/>
        </w:tabs>
        <w:spacing w:line="580" w:lineRule="exact"/>
        <w:ind w:firstLineChars="200" w:firstLine="640"/>
        <w:rPr>
          <w:rFonts w:ascii="仿宋" w:eastAsia="仿宋" w:cs="仿宋_GB2312"/>
          <w:sz w:val="32"/>
          <w:szCs w:val="32"/>
        </w:rPr>
      </w:pPr>
    </w:p>
    <w:p>
      <w:pPr>
        <w:tabs>
          <w:tab w:val="left" w:pos="312"/>
        </w:tabs>
        <w:spacing w:line="580" w:lineRule="exact"/>
        <w:ind w:firstLineChars="200" w:firstLine="640"/>
        <w:rPr>
          <w:rFonts w:ascii="仿宋" w:eastAsia="仿宋" w:cs="仿宋_GB2312"/>
          <w:sz w:val="32"/>
          <w:szCs w:val="32"/>
        </w:rPr>
      </w:pPr>
    </w:p>
    <w:p>
      <w:pPr>
        <w:tabs>
          <w:tab w:val="left" w:pos="312"/>
        </w:tabs>
        <w:spacing w:line="580" w:lineRule="exact"/>
        <w:ind w:firstLineChars="200" w:firstLine="640"/>
        <w:rPr>
          <w:rFonts w:ascii="仿宋" w:eastAsia="仿宋" w:cs="仿宋_GB2312"/>
          <w:sz w:val="32"/>
          <w:szCs w:val="32"/>
        </w:rPr>
      </w:pPr>
      <w:r>
        <w:rPr>
          <w:rFonts w:ascii="仿宋" w:eastAsia="仿宋" w:cs="仿宋_GB2312" w:hint="eastAsia"/>
          <w:sz w:val="32"/>
          <w:szCs w:val="32"/>
        </w:rPr>
        <w:t>附表：</w:t>
      </w:r>
    </w:p>
    <w:tbl>
      <w:tblPr>
        <w:tblpPr w:leftFromText="180" w:rightFromText="180" w:vertAnchor="text" w:horzAnchor="page" w:tblpXSpec="center" w:tblpY="423"/>
        <w:tblOverlap w:val="never"/>
        <w:tblW w:w="9796"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866"/>
        <w:gridCol w:w="567"/>
        <w:gridCol w:w="1349"/>
        <w:gridCol w:w="1911"/>
        <w:gridCol w:w="3119"/>
        <w:gridCol w:w="1984"/>
      </w:tblGrid>
      <w:tr>
        <w:trPr>
          <w:trHeight w:val="1034"/>
        </w:trPr>
        <w:tc>
          <w:tcPr>
            <w:tcW w:w="9796" w:type="dxa"/>
            <w:gridSpan w:val="6"/>
            <w:noWrap/>
            <w:tcMar>
              <w:top w:w="15" w:type="dxa"/>
              <w:left w:w="15" w:type="dxa"/>
              <w:right w:w="15" w:type="dxa"/>
            </w:tcMar>
            <w:vAlign w:val="center"/>
          </w:tcPr>
          <w:p>
            <w:pPr>
              <w:widowControl/>
              <w:jc w:val="center"/>
              <w:textAlignment w:val="center"/>
              <w:rPr>
                <w:rFonts w:ascii="宋体" w:cs="宋体"/>
                <w:b/>
                <w:bCs/>
                <w:color w:val="000000"/>
                <w:kern w:val="0"/>
                <w:sz w:val="32"/>
                <w:szCs w:val="32"/>
              </w:rPr>
            </w:pPr>
            <w:r>
              <w:rPr>
                <w:rFonts w:ascii="黑体" w:eastAsia="黑体" w:cs="宋体" w:hint="eastAsia"/>
                <w:bCs/>
                <w:color w:val="000000"/>
                <w:kern w:val="0"/>
                <w:sz w:val="32"/>
                <w:szCs w:val="32"/>
              </w:rPr>
              <w:t>2021年</w:t>
            </w:r>
            <w:r>
              <w:rPr>
                <w:rFonts w:ascii="黑体" w:eastAsia="黑体" w:cs="宋体"/>
                <w:bCs/>
                <w:color w:val="000000"/>
                <w:kern w:val="0"/>
                <w:sz w:val="32"/>
                <w:szCs w:val="32"/>
              </w:rPr>
              <w:t>50</w:t>
            </w:r>
            <w:r>
              <w:rPr>
                <w:rFonts w:ascii="黑体" w:eastAsia="黑体" w:cs="宋体" w:hint="eastAsia"/>
                <w:bCs/>
                <w:color w:val="000000"/>
                <w:kern w:val="0"/>
                <w:sz w:val="32"/>
                <w:szCs w:val="32"/>
              </w:rPr>
              <w:t>万元以上（含）特定目标类部门预算项目绩效目标自评</w:t>
            </w:r>
          </w:p>
        </w:tc>
      </w:tr>
      <w:tr>
        <w:trPr>
          <w:trHeight w:val="560"/>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01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2021市级少数民族发展金</w:t>
            </w:r>
          </w:p>
        </w:tc>
      </w:tr>
      <w:tr>
        <w:trPr>
          <w:trHeight w:val="539"/>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01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攀枝花民族宗教事务委员会</w:t>
            </w:r>
          </w:p>
        </w:tc>
      </w:tr>
      <w:tr>
        <w:trPr>
          <w:trHeight w:val="597"/>
        </w:trPr>
        <w:tc>
          <w:tcPr>
            <w:tcW w:w="8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预算执行情况(万元)</w:t>
            </w:r>
          </w:p>
        </w:tc>
        <w:tc>
          <w:tcPr>
            <w:tcW w:w="191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预算数:</w:t>
            </w:r>
          </w:p>
        </w:tc>
        <w:tc>
          <w:tcPr>
            <w:tcW w:w="1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97</w:t>
            </w:r>
          </w:p>
        </w:tc>
        <w:tc>
          <w:tcPr>
            <w:tcW w:w="31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执行数:</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83.728</w:t>
            </w:r>
          </w:p>
        </w:tc>
      </w:tr>
      <w:tr>
        <w:trPr>
          <w:trHeight w:val="535"/>
        </w:trPr>
        <w:tc>
          <w:tcPr>
            <w:tcW w:w="866" w:type="dxa"/>
            <w:vMerge/>
            <w:tcBorders>
              <w:top w:val="single" w:sz="4" w:space="0" w:color="000000"/>
              <w:left w:val="single" w:sz="4" w:space="0" w:color="000000"/>
              <w:bottom w:val="single" w:sz="4" w:space="0" w:color="000000"/>
              <w:right w:val="single" w:sz="4" w:space="0" w:color="000000"/>
            </w:tcBorders>
            <w:noWrap/>
            <w:vAlign w:val="center"/>
          </w:tcPr>
          <w:p/>
        </w:tc>
        <w:tc>
          <w:tcPr>
            <w:tcW w:w="191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1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97</w:t>
            </w:r>
          </w:p>
        </w:tc>
        <w:tc>
          <w:tcPr>
            <w:tcW w:w="31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83.728</w:t>
            </w:r>
          </w:p>
        </w:tc>
      </w:tr>
      <w:tr>
        <w:trPr>
          <w:trHeight w:val="456"/>
        </w:trPr>
        <w:tc>
          <w:tcPr>
            <w:tcW w:w="866" w:type="dxa"/>
            <w:vMerge/>
            <w:tcBorders>
              <w:top w:val="single" w:sz="4" w:space="0" w:color="000000"/>
              <w:left w:val="single" w:sz="4" w:space="0" w:color="000000"/>
              <w:bottom w:val="single" w:sz="4" w:space="0" w:color="000000"/>
              <w:right w:val="single" w:sz="4" w:space="0" w:color="000000"/>
            </w:tcBorders>
            <w:noWrap/>
            <w:vAlign w:val="center"/>
          </w:tcPr>
          <w:p/>
        </w:tc>
        <w:tc>
          <w:tcPr>
            <w:tcW w:w="191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1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0</w:t>
            </w:r>
          </w:p>
        </w:tc>
        <w:tc>
          <w:tcPr>
            <w:tcW w:w="31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color w:val="000000"/>
                <w:sz w:val="24"/>
              </w:rPr>
            </w:pPr>
          </w:p>
        </w:tc>
      </w:tr>
      <w:tr>
        <w:trPr>
          <w:trHeight w:val="621"/>
        </w:trPr>
        <w:tc>
          <w:tcPr>
            <w:tcW w:w="8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382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预期目标</w:t>
            </w:r>
          </w:p>
        </w:tc>
        <w:tc>
          <w:tcPr>
            <w:tcW w:w="510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实际完成目标</w:t>
            </w:r>
          </w:p>
        </w:tc>
      </w:tr>
      <w:tr>
        <w:trPr>
          <w:trHeight w:val="779"/>
        </w:trPr>
        <w:tc>
          <w:tcPr>
            <w:tcW w:w="866" w:type="dxa"/>
            <w:vMerge/>
            <w:tcBorders>
              <w:top w:val="single" w:sz="4" w:space="0" w:color="000000"/>
              <w:left w:val="single" w:sz="4" w:space="0" w:color="000000"/>
              <w:bottom w:val="single" w:sz="4" w:space="0" w:color="000000"/>
              <w:right w:val="single" w:sz="4" w:space="0" w:color="000000"/>
            </w:tcBorders>
            <w:noWrap/>
            <w:vAlign w:val="center"/>
          </w:tcPr>
          <w:p/>
        </w:tc>
        <w:tc>
          <w:tcPr>
            <w:tcW w:w="382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维护民族宗教领域和谐稳定、提升民族宗教干部业务能力、少数民族群众自我发展能力，推进攀枝花市民族团结进步事业。</w:t>
            </w:r>
          </w:p>
        </w:tc>
        <w:tc>
          <w:tcPr>
            <w:tcW w:w="510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维护民族宗教领域和谐稳定、提升民族宗教干部业务能力、少数民族群众自我发展能力，推进攀枝花市民族团结进步事业。</w:t>
            </w:r>
          </w:p>
        </w:tc>
      </w:tr>
      <w:tr>
        <w:trPr>
          <w:trHeight w:val="1042"/>
        </w:trPr>
        <w:tc>
          <w:tcPr>
            <w:tcW w:w="8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绩</w:t>
            </w:r>
          </w:p>
          <w:p>
            <w:pPr>
              <w:widowControl/>
              <w:jc w:val="center"/>
              <w:textAlignment w:val="center"/>
              <w:rPr>
                <w:rFonts w:ascii="宋体" w:cs="宋体"/>
                <w:color w:val="000000"/>
                <w:sz w:val="24"/>
              </w:rPr>
            </w:pPr>
            <w:r>
              <w:rPr>
                <w:rFonts w:ascii="宋体" w:cs="宋体" w:hint="eastAsia"/>
                <w:color w:val="000000"/>
                <w:sz w:val="24"/>
              </w:rPr>
              <w:t>效</w:t>
            </w:r>
          </w:p>
          <w:p>
            <w:pPr>
              <w:widowControl/>
              <w:jc w:val="center"/>
              <w:textAlignment w:val="center"/>
              <w:rPr>
                <w:rFonts w:ascii="宋体" w:cs="宋体"/>
                <w:color w:val="000000"/>
                <w:sz w:val="24"/>
              </w:rPr>
            </w:pPr>
            <w:r>
              <w:rPr>
                <w:rFonts w:ascii="宋体" w:cs="宋体" w:hint="eastAsia"/>
                <w:color w:val="000000"/>
                <w:sz w:val="24"/>
              </w:rPr>
              <w:t>指</w:t>
            </w:r>
          </w:p>
          <w:p>
            <w:pPr>
              <w:widowControl/>
              <w:jc w:val="center"/>
              <w:textAlignment w:val="center"/>
              <w:rPr>
                <w:rFonts w:ascii="宋体" w:cs="宋体"/>
                <w:color w:val="000000"/>
                <w:sz w:val="24"/>
              </w:rPr>
            </w:pPr>
            <w:r>
              <w:rPr>
                <w:rFonts w:ascii="宋体" w:cs="宋体" w:hint="eastAsia"/>
                <w:color w:val="000000"/>
                <w:sz w:val="24"/>
              </w:rPr>
              <w:t>标</w:t>
            </w:r>
          </w:p>
          <w:p>
            <w:pPr>
              <w:widowControl/>
              <w:jc w:val="center"/>
              <w:textAlignment w:val="center"/>
              <w:rPr>
                <w:rFonts w:ascii="宋体" w:cs="宋体"/>
                <w:color w:val="000000"/>
                <w:sz w:val="24"/>
              </w:rPr>
            </w:pPr>
            <w:r>
              <w:rPr>
                <w:rFonts w:ascii="宋体" w:cs="宋体" w:hint="eastAsia"/>
                <w:color w:val="000000"/>
                <w:sz w:val="24"/>
              </w:rPr>
              <w:t>完</w:t>
            </w:r>
          </w:p>
          <w:p>
            <w:pPr>
              <w:widowControl/>
              <w:jc w:val="center"/>
              <w:textAlignment w:val="center"/>
              <w:rPr>
                <w:rFonts w:ascii="宋体" w:cs="宋体"/>
                <w:color w:val="000000"/>
                <w:sz w:val="24"/>
              </w:rPr>
            </w:pPr>
            <w:r>
              <w:rPr>
                <w:rFonts w:ascii="宋体" w:cs="宋体" w:hint="eastAsia"/>
                <w:color w:val="000000"/>
                <w:sz w:val="24"/>
              </w:rPr>
              <w:t>成</w:t>
            </w:r>
          </w:p>
          <w:p>
            <w:pPr>
              <w:widowControl/>
              <w:jc w:val="center"/>
              <w:textAlignment w:val="center"/>
              <w:rPr>
                <w:rFonts w:ascii="宋体" w:cs="宋体"/>
                <w:color w:val="000000"/>
                <w:sz w:val="24"/>
              </w:rPr>
            </w:pPr>
            <w:r>
              <w:rPr>
                <w:rFonts w:ascii="宋体" w:cs="宋体" w:hint="eastAsia"/>
                <w:color w:val="000000"/>
                <w:sz w:val="24"/>
              </w:rPr>
              <w:t>情</w:t>
            </w:r>
          </w:p>
          <w:p>
            <w:pPr>
              <w:widowControl/>
              <w:jc w:val="center"/>
              <w:textAlignment w:val="center"/>
              <w:rPr>
                <w:rFonts w:ascii="宋体" w:cs="宋体"/>
                <w:color w:val="000000"/>
                <w:sz w:val="24"/>
              </w:rPr>
            </w:pPr>
            <w:r>
              <w:rPr>
                <w:rFonts w:ascii="宋体" w:cs="宋体" w:hint="eastAsia"/>
                <w:color w:val="000000"/>
                <w:sz w:val="24"/>
              </w:rPr>
              <w:t>况</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3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二级指标</w:t>
            </w:r>
          </w:p>
        </w:tc>
        <w:tc>
          <w:tcPr>
            <w:tcW w:w="1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三级指标</w:t>
            </w:r>
          </w:p>
        </w:tc>
        <w:tc>
          <w:tcPr>
            <w:tcW w:w="31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预期指标值(包含数字及文字描述)</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实际完成指标值(包含数字及文字描述)</w:t>
            </w:r>
          </w:p>
        </w:tc>
      </w:tr>
      <w:tr>
        <w:trPr>
          <w:trHeight w:val="1310"/>
        </w:trPr>
        <w:tc>
          <w:tcPr>
            <w:tcW w:w="866" w:type="dxa"/>
            <w:vMerge/>
            <w:tcBorders>
              <w:top w:val="single" w:sz="4" w:space="0" w:color="000000"/>
              <w:left w:val="single" w:sz="4" w:space="0" w:color="000000"/>
              <w:bottom w:val="single" w:sz="4" w:space="0" w:color="000000"/>
              <w:right w:val="single" w:sz="4" w:space="0" w:color="000000"/>
            </w:tcBorders>
            <w:noWrap/>
            <w:vAlign w:val="center"/>
          </w:tcPr>
          <w:p/>
        </w:tc>
        <w:tc>
          <w:tcPr>
            <w:tcW w:w="567"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w:t>
            </w:r>
          </w:p>
          <w:p>
            <w:pPr>
              <w:widowControl/>
              <w:jc w:val="center"/>
              <w:textAlignment w:val="center"/>
              <w:rPr>
                <w:rFonts w:ascii="宋体" w:cs="宋体"/>
                <w:color w:val="000000"/>
                <w:kern w:val="0"/>
                <w:sz w:val="24"/>
              </w:rPr>
            </w:pPr>
            <w:r>
              <w:rPr>
                <w:rFonts w:ascii="宋体" w:cs="宋体" w:hint="eastAsia"/>
                <w:color w:val="000000"/>
                <w:kern w:val="0"/>
                <w:sz w:val="24"/>
              </w:rPr>
              <w:t>目</w:t>
            </w:r>
          </w:p>
          <w:p>
            <w:pPr>
              <w:widowControl/>
              <w:jc w:val="center"/>
              <w:textAlignment w:val="center"/>
              <w:rPr>
                <w:rFonts w:ascii="宋体" w:cs="宋体"/>
                <w:color w:val="000000"/>
                <w:kern w:val="0"/>
                <w:sz w:val="24"/>
              </w:rPr>
            </w:pPr>
            <w:r>
              <w:rPr>
                <w:rFonts w:ascii="宋体" w:cs="宋体" w:hint="eastAsia"/>
                <w:color w:val="000000"/>
                <w:kern w:val="0"/>
                <w:sz w:val="24"/>
              </w:rPr>
              <w:t>完</w:t>
            </w:r>
          </w:p>
          <w:p>
            <w:pPr>
              <w:widowControl/>
              <w:jc w:val="center"/>
              <w:textAlignment w:val="center"/>
              <w:rPr>
                <w:rFonts w:ascii="宋体" w:cs="宋体"/>
                <w:color w:val="000000"/>
                <w:kern w:val="0"/>
                <w:sz w:val="24"/>
              </w:rPr>
            </w:pPr>
            <w:r>
              <w:rPr>
                <w:rFonts w:ascii="宋体" w:cs="宋体" w:hint="eastAsia"/>
                <w:color w:val="000000"/>
                <w:kern w:val="0"/>
                <w:sz w:val="24"/>
              </w:rPr>
              <w:t>成</w:t>
            </w:r>
          </w:p>
          <w:p>
            <w:pPr>
              <w:widowControl/>
              <w:jc w:val="center"/>
              <w:textAlignment w:val="center"/>
              <w:rPr>
                <w:rFonts w:ascii="宋体" w:cs="宋体"/>
                <w:color w:val="000000"/>
                <w:kern w:val="0"/>
                <w:sz w:val="24"/>
              </w:rPr>
            </w:pPr>
            <w:r>
              <w:rPr>
                <w:rFonts w:ascii="宋体" w:cs="宋体" w:hint="eastAsia"/>
                <w:color w:val="000000"/>
                <w:kern w:val="0"/>
                <w:sz w:val="24"/>
              </w:rPr>
              <w:t>指</w:t>
            </w:r>
          </w:p>
          <w:p>
            <w:pPr>
              <w:widowControl/>
              <w:jc w:val="center"/>
              <w:textAlignment w:val="center"/>
              <w:rPr>
                <w:rFonts w:ascii="宋体" w:cs="宋体"/>
                <w:color w:val="000000"/>
                <w:sz w:val="24"/>
              </w:rPr>
            </w:pPr>
            <w:r>
              <w:rPr>
                <w:rFonts w:ascii="宋体" w:cs="宋体" w:hint="eastAsia"/>
                <w:color w:val="000000"/>
                <w:kern w:val="0"/>
                <w:sz w:val="24"/>
              </w:rPr>
              <w:t>标</w:t>
            </w:r>
          </w:p>
          <w:p>
            <w:pPr>
              <w:jc w:val="center"/>
              <w:textAlignment w:val="center"/>
              <w:rPr>
                <w:rFonts w:ascii="宋体" w:cs="宋体"/>
                <w:color w:val="000000"/>
                <w:sz w:val="24"/>
              </w:rPr>
            </w:pPr>
          </w:p>
        </w:tc>
        <w:tc>
          <w:tcPr>
            <w:tcW w:w="1349"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jc w:val="center"/>
              <w:rPr>
                <w:rFonts w:ascii="宋体" w:cs="宋体"/>
                <w:bCs/>
                <w:sz w:val="24"/>
              </w:rPr>
            </w:pPr>
            <w:r>
              <w:rPr>
                <w:rFonts w:hint="eastAsia"/>
                <w:bCs/>
              </w:rPr>
              <w:t>数量指标</w:t>
            </w:r>
          </w:p>
        </w:tc>
        <w:tc>
          <w:tcPr>
            <w:tcW w:w="1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sz w:val="18"/>
                <w:szCs w:val="18"/>
              </w:rPr>
            </w:pPr>
            <w:r>
              <w:rPr>
                <w:rFonts w:ascii="宋体" w:eastAsia="宋体" w:hint="eastAsia"/>
                <w:bCs/>
                <w:sz w:val="18"/>
                <w:szCs w:val="18"/>
              </w:rPr>
              <w:t>民族地区、城市社区特殊困难群众应急补助、慰问费；民族宗教领域风险防范及矛盾调处；城市社区民族工作创新试点等经费。</w:t>
            </w:r>
          </w:p>
        </w:tc>
        <w:tc>
          <w:tcPr>
            <w:tcW w:w="31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s="宋体"/>
                <w:sz w:val="18"/>
                <w:szCs w:val="18"/>
              </w:rPr>
            </w:pPr>
            <w:r>
              <w:rPr>
                <w:rFonts w:ascii="宋体" w:eastAsia="宋体" w:hint="eastAsia"/>
                <w:sz w:val="18"/>
                <w:szCs w:val="18"/>
              </w:rPr>
              <w:t>开展民族地区、城市社区特殊困难群众应急补助及春节慰问40余人次；开展民族宗教领域风险防范排查及民族工作“十四五”规划编制，民族宗教领域矛盾纠纷调处，民族地区禁毒防艾；市级城市社区民族工作创新试点，城市少数民族流动人口服务管理、民族宗教工作宣传等经费。</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sz w:val="18"/>
                <w:szCs w:val="18"/>
              </w:rPr>
            </w:pPr>
            <w:r>
              <w:rPr>
                <w:rFonts w:ascii="宋体" w:eastAsia="宋体"/>
                <w:sz w:val="18"/>
                <w:szCs w:val="18"/>
              </w:rPr>
              <w:t>44</w:t>
            </w:r>
            <w:r>
              <w:rPr>
                <w:rFonts w:ascii="宋体" w:eastAsia="宋体" w:hint="eastAsia"/>
                <w:sz w:val="18"/>
                <w:szCs w:val="18"/>
              </w:rPr>
              <w:t>%，慰问谜塘村困难户24户；开展民族地区禁毒防艾、森林防火宣传，开展城市社区民族工作试点等。</w:t>
            </w:r>
          </w:p>
        </w:tc>
      </w:tr>
      <w:tr>
        <w:trPr>
          <w:trHeight w:val="401"/>
        </w:trPr>
        <w:tc>
          <w:tcPr>
            <w:tcW w:w="866" w:type="dxa"/>
            <w:vMerge/>
            <w:tcBorders>
              <w:top w:val="single" w:sz="4" w:space="0" w:color="000000"/>
              <w:left w:val="single" w:sz="4" w:space="0" w:color="000000"/>
              <w:bottom w:val="single" w:sz="4" w:space="0" w:color="000000"/>
              <w:right w:val="single" w:sz="4" w:space="0" w:color="000000"/>
            </w:tcBorders>
            <w:noWrap/>
            <w:vAlign w:val="center"/>
          </w:tcPr>
          <w:p/>
        </w:tc>
        <w:tc>
          <w:tcPr>
            <w:tcW w:w="567" w:type="dxa"/>
            <w:vMerge/>
            <w:tcBorders>
              <w:left w:val="single" w:sz="4" w:space="0" w:color="000000"/>
              <w:right w:val="single" w:sz="4" w:space="0" w:color="000000"/>
            </w:tcBorders>
            <w:noWrap/>
            <w:tcMar>
              <w:top w:w="15" w:type="dxa"/>
              <w:left w:w="15" w:type="dxa"/>
              <w:right w:w="15" w:type="dxa"/>
            </w:tcMar>
            <w:vAlign w:val="center"/>
          </w:tcPr>
          <w:p/>
        </w:tc>
        <w:tc>
          <w:tcPr>
            <w:tcW w:w="1349" w:type="dxa"/>
            <w:vMerge/>
            <w:tcBorders>
              <w:left w:val="single" w:sz="4" w:space="0" w:color="000000"/>
              <w:right w:val="single" w:sz="4" w:space="0" w:color="000000"/>
            </w:tcBorders>
            <w:noWrap/>
            <w:tcMar>
              <w:top w:w="15" w:type="dxa"/>
              <w:left w:w="15" w:type="dxa"/>
              <w:right w:w="15" w:type="dxa"/>
            </w:tcMar>
            <w:vAlign w:val="center"/>
          </w:tcPr>
          <w:p/>
        </w:tc>
        <w:tc>
          <w:tcPr>
            <w:tcW w:w="1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sz w:val="18"/>
                <w:szCs w:val="18"/>
              </w:rPr>
            </w:pPr>
            <w:r>
              <w:rPr>
                <w:rFonts w:ascii="宋体" w:eastAsia="宋体" w:hint="eastAsia"/>
                <w:sz w:val="18"/>
                <w:szCs w:val="18"/>
              </w:rPr>
              <w:t>民族地区实用技术、劳动技能培训；民族宗教工作培训和民族宗教干部学校运行经费</w:t>
            </w:r>
          </w:p>
        </w:tc>
        <w:tc>
          <w:tcPr>
            <w:tcW w:w="31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sz w:val="18"/>
                <w:szCs w:val="18"/>
              </w:rPr>
            </w:pPr>
            <w:r>
              <w:rPr>
                <w:rFonts w:ascii="宋体" w:eastAsia="宋体" w:hint="eastAsia"/>
                <w:sz w:val="18"/>
                <w:szCs w:val="18"/>
              </w:rPr>
              <w:t>开展民族地区重要产业和特色产业科技实用技术培训；组建科技成果转化专家创新团队示范基地；开展民宗系统干部和乡（镇）、村（社区）民族宗教工作干部培训80人次；民宗干部学校运行保障经费，临聘人员劳务费、保险费等。</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sz w:val="18"/>
                <w:szCs w:val="18"/>
              </w:rPr>
            </w:pPr>
            <w:r>
              <w:rPr>
                <w:rFonts w:ascii="宋体" w:eastAsia="宋体" w:hint="eastAsia"/>
                <w:sz w:val="18"/>
                <w:szCs w:val="18"/>
              </w:rPr>
              <w:t>1</w:t>
            </w:r>
            <w:r>
              <w:rPr>
                <w:rFonts w:ascii="宋体" w:eastAsia="宋体"/>
                <w:sz w:val="18"/>
                <w:szCs w:val="18"/>
              </w:rPr>
              <w:t>00%</w:t>
            </w:r>
            <w:r>
              <w:rPr>
                <w:rFonts w:ascii="宋体" w:eastAsia="宋体" w:hint="eastAsia"/>
                <w:sz w:val="18"/>
                <w:szCs w:val="18"/>
              </w:rPr>
              <w:t>，开展民族地区实用技术培训和乡村振兴驻村第一书记培训、民族宗教干部培训2000人次；建立科技成果转换专家创新团队示范基地2个；民宗干部学校运行保障。</w:t>
            </w:r>
          </w:p>
        </w:tc>
      </w:tr>
      <w:tr>
        <w:trPr>
          <w:trHeight w:val="1310"/>
        </w:trPr>
        <w:tc>
          <w:tcPr>
            <w:tcW w:w="866" w:type="dxa"/>
            <w:vMerge/>
            <w:tcBorders>
              <w:top w:val="single" w:sz="4" w:space="0" w:color="000000"/>
              <w:left w:val="single" w:sz="4" w:space="0" w:color="000000"/>
              <w:bottom w:val="single" w:sz="4" w:space="0" w:color="000000"/>
              <w:right w:val="single" w:sz="4" w:space="0" w:color="000000"/>
            </w:tcBorders>
            <w:noWrap/>
            <w:vAlign w:val="center"/>
          </w:tcPr>
          <w:p/>
        </w:tc>
        <w:tc>
          <w:tcPr>
            <w:tcW w:w="567" w:type="dxa"/>
            <w:vMerge/>
            <w:tcBorders>
              <w:left w:val="single" w:sz="4" w:space="0" w:color="000000"/>
              <w:right w:val="single" w:sz="4" w:space="0" w:color="000000"/>
            </w:tcBorders>
            <w:noWrap/>
            <w:tcMar>
              <w:top w:w="15" w:type="dxa"/>
              <w:left w:w="15" w:type="dxa"/>
              <w:right w:w="15" w:type="dxa"/>
            </w:tcMar>
            <w:vAlign w:val="center"/>
          </w:tcPr>
          <w:p/>
        </w:tc>
        <w:tc>
          <w:tcPr>
            <w:tcW w:w="1349" w:type="dxa"/>
            <w:vMerge/>
            <w:tcBorders>
              <w:left w:val="single" w:sz="4" w:space="0" w:color="000000"/>
              <w:right w:val="single" w:sz="4" w:space="0" w:color="000000"/>
            </w:tcBorders>
            <w:noWrap/>
            <w:tcMar>
              <w:top w:w="15" w:type="dxa"/>
              <w:left w:w="15" w:type="dxa"/>
              <w:right w:w="15" w:type="dxa"/>
            </w:tcMar>
            <w:vAlign w:val="center"/>
          </w:tcPr>
          <w:p/>
        </w:tc>
        <w:tc>
          <w:tcPr>
            <w:tcW w:w="1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18"/>
                <w:szCs w:val="18"/>
              </w:rPr>
            </w:pPr>
            <w:r>
              <w:rPr>
                <w:rFonts w:hint="eastAsia"/>
                <w:sz w:val="18"/>
                <w:szCs w:val="18"/>
              </w:rPr>
              <w:t>两资项目管理、培训</w:t>
            </w:r>
          </w:p>
        </w:tc>
        <w:tc>
          <w:tcPr>
            <w:tcW w:w="31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18"/>
                <w:szCs w:val="18"/>
              </w:rPr>
            </w:pPr>
            <w:r>
              <w:rPr>
                <w:rFonts w:hint="eastAsia"/>
                <w:sz w:val="18"/>
                <w:szCs w:val="18"/>
              </w:rPr>
              <w:t>资金用于两资项目公示、两资宣传、两资管理业务工作会议、项目绩效考评、项目指导调研、档案数字化、项目管理培训等。</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sz w:val="18"/>
                <w:szCs w:val="18"/>
              </w:rPr>
            </w:pPr>
            <w:r>
              <w:rPr>
                <w:rFonts w:ascii="宋体" w:eastAsia="宋体" w:hint="eastAsia"/>
                <w:sz w:val="18"/>
                <w:szCs w:val="18"/>
              </w:rPr>
              <w:t>6</w:t>
            </w:r>
            <w:r>
              <w:rPr>
                <w:rFonts w:ascii="宋体" w:eastAsia="宋体"/>
                <w:sz w:val="18"/>
                <w:szCs w:val="18"/>
              </w:rPr>
              <w:t>7%</w:t>
            </w:r>
            <w:r>
              <w:rPr>
                <w:rFonts w:ascii="宋体" w:eastAsia="宋体" w:hint="eastAsia"/>
                <w:sz w:val="18"/>
                <w:szCs w:val="18"/>
              </w:rPr>
              <w:t>，完成项目公示、宣传、会议、绩效考评、调研、培训等6余次，进行两资档案数字化等项目。</w:t>
            </w:r>
          </w:p>
        </w:tc>
      </w:tr>
      <w:tr>
        <w:trPr>
          <w:trHeight w:val="1310"/>
        </w:trPr>
        <w:tc>
          <w:tcPr>
            <w:tcW w:w="866" w:type="dxa"/>
            <w:vMerge/>
            <w:tcBorders>
              <w:top w:val="single" w:sz="4" w:space="0" w:color="000000"/>
              <w:left w:val="single" w:sz="4" w:space="0" w:color="000000"/>
              <w:bottom w:val="single" w:sz="4" w:space="0" w:color="000000"/>
              <w:right w:val="single" w:sz="4" w:space="0" w:color="000000"/>
            </w:tcBorders>
            <w:noWrap/>
            <w:vAlign w:val="center"/>
          </w:tcPr>
          <w:p/>
        </w:tc>
        <w:tc>
          <w:tcPr>
            <w:tcW w:w="567" w:type="dxa"/>
            <w:vMerge/>
            <w:tcBorders>
              <w:left w:val="single" w:sz="4" w:space="0" w:color="000000"/>
              <w:right w:val="single" w:sz="4" w:space="0" w:color="000000"/>
            </w:tcBorders>
            <w:noWrap/>
            <w:tcMar>
              <w:top w:w="15" w:type="dxa"/>
              <w:left w:w="15" w:type="dxa"/>
              <w:right w:w="15" w:type="dxa"/>
            </w:tcMar>
            <w:vAlign w:val="center"/>
          </w:tcPr>
          <w:p/>
        </w:tc>
        <w:tc>
          <w:tcPr>
            <w:tcW w:w="1349" w:type="dxa"/>
            <w:vMerge/>
            <w:tcBorders>
              <w:left w:val="single" w:sz="4" w:space="0" w:color="000000"/>
              <w:right w:val="single" w:sz="4" w:space="0" w:color="000000"/>
            </w:tcBorders>
            <w:noWrap/>
            <w:tcMar>
              <w:top w:w="15" w:type="dxa"/>
              <w:left w:w="15" w:type="dxa"/>
              <w:right w:w="15" w:type="dxa"/>
            </w:tcMar>
            <w:vAlign w:val="center"/>
          </w:tcPr>
          <w:p/>
        </w:tc>
        <w:tc>
          <w:tcPr>
            <w:tcW w:w="1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18"/>
                <w:szCs w:val="18"/>
              </w:rPr>
            </w:pPr>
            <w:r>
              <w:rPr>
                <w:rFonts w:hint="eastAsia"/>
                <w:sz w:val="18"/>
                <w:szCs w:val="18"/>
              </w:rPr>
              <w:t>民族团结进步创建经费</w:t>
            </w:r>
          </w:p>
        </w:tc>
        <w:tc>
          <w:tcPr>
            <w:tcW w:w="31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18"/>
                <w:szCs w:val="18"/>
              </w:rPr>
            </w:pPr>
            <w:r>
              <w:rPr>
                <w:rFonts w:hint="eastAsia"/>
                <w:sz w:val="18"/>
                <w:szCs w:val="18"/>
              </w:rPr>
              <w:t>举办一期全市民族团结进步创建工作培训班50人左右；开展民族团结进步创建工作和命名第四批全市民族团结进步示范单位等相关工作经费。</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sz w:val="18"/>
                <w:szCs w:val="18"/>
              </w:rPr>
            </w:pPr>
            <w:r>
              <w:rPr>
                <w:rFonts w:hint="eastAsia"/>
                <w:sz w:val="18"/>
                <w:szCs w:val="18"/>
              </w:rPr>
              <w:t>9</w:t>
            </w:r>
            <w:r>
              <w:rPr>
                <w:sz w:val="18"/>
                <w:szCs w:val="18"/>
              </w:rPr>
              <w:t>7%</w:t>
            </w:r>
            <w:r>
              <w:rPr>
                <w:rFonts w:hint="eastAsia"/>
                <w:sz w:val="18"/>
                <w:szCs w:val="18"/>
              </w:rPr>
              <w:t>，培训55人；开展全市民族团结进步示范单位评审工作等。</w:t>
            </w:r>
          </w:p>
        </w:tc>
      </w:tr>
      <w:tr>
        <w:trPr>
          <w:trHeight w:val="1310"/>
        </w:trPr>
        <w:tc>
          <w:tcPr>
            <w:tcW w:w="866" w:type="dxa"/>
            <w:vMerge/>
            <w:tcBorders>
              <w:top w:val="single" w:sz="4" w:space="0" w:color="000000"/>
              <w:left w:val="single" w:sz="4" w:space="0" w:color="000000"/>
              <w:bottom w:val="single" w:sz="4" w:space="0" w:color="000000"/>
              <w:right w:val="single" w:sz="4" w:space="0" w:color="000000"/>
            </w:tcBorders>
            <w:noWrap/>
            <w:vAlign w:val="center"/>
          </w:tcPr>
          <w:p/>
        </w:tc>
        <w:tc>
          <w:tcPr>
            <w:tcW w:w="567" w:type="dxa"/>
            <w:vMerge/>
            <w:tcBorders>
              <w:left w:val="single" w:sz="4" w:space="0" w:color="000000"/>
              <w:right w:val="single" w:sz="4" w:space="0" w:color="000000"/>
            </w:tcBorders>
            <w:noWrap/>
            <w:tcMar>
              <w:top w:w="15" w:type="dxa"/>
              <w:left w:w="15" w:type="dxa"/>
              <w:right w:w="15" w:type="dxa"/>
            </w:tcMar>
            <w:vAlign w:val="center"/>
          </w:tcPr>
          <w:p/>
        </w:tc>
        <w:tc>
          <w:tcPr>
            <w:tcW w:w="1349"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18"/>
                <w:szCs w:val="18"/>
              </w:rPr>
            </w:pPr>
            <w:r>
              <w:rPr>
                <w:rFonts w:hint="eastAsia"/>
                <w:sz w:val="18"/>
                <w:szCs w:val="18"/>
              </w:rPr>
              <w:t>市民族宗教委电子政务内网机房建设项目</w:t>
            </w:r>
          </w:p>
        </w:tc>
        <w:tc>
          <w:tcPr>
            <w:tcW w:w="31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18"/>
                <w:szCs w:val="18"/>
              </w:rPr>
            </w:pPr>
            <w:r>
              <w:rPr>
                <w:rFonts w:hint="eastAsia"/>
                <w:sz w:val="18"/>
                <w:szCs w:val="18"/>
              </w:rPr>
              <w:t>按照市电子政务内网建设相关要求和标准，实施电子政务内网机房建设、配备安装机房设备设施。</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sz w:val="18"/>
                <w:szCs w:val="18"/>
              </w:rPr>
            </w:pPr>
            <w:r>
              <w:rPr>
                <w:rFonts w:hint="eastAsia"/>
                <w:sz w:val="18"/>
                <w:szCs w:val="18"/>
              </w:rPr>
              <w:t>1</w:t>
            </w:r>
            <w:r>
              <w:rPr>
                <w:sz w:val="18"/>
                <w:szCs w:val="18"/>
              </w:rPr>
              <w:t>00%</w:t>
            </w:r>
            <w:r>
              <w:rPr>
                <w:rFonts w:hint="eastAsia"/>
                <w:sz w:val="18"/>
                <w:szCs w:val="18"/>
              </w:rPr>
              <w:t>，完成了电子政务内网建设，包括电子政务内网机房建设、配备安装机房设备设施。</w:t>
            </w:r>
          </w:p>
        </w:tc>
      </w:tr>
      <w:tr>
        <w:trPr>
          <w:trHeight w:val="587"/>
        </w:trPr>
        <w:tc>
          <w:tcPr>
            <w:tcW w:w="866" w:type="dxa"/>
            <w:vMerge/>
            <w:tcBorders>
              <w:top w:val="single" w:sz="4" w:space="0" w:color="000000"/>
              <w:left w:val="single" w:sz="4" w:space="0" w:color="000000"/>
              <w:bottom w:val="single" w:sz="4" w:space="0" w:color="000000"/>
              <w:right w:val="single" w:sz="4" w:space="0" w:color="000000"/>
            </w:tcBorders>
            <w:noWrap/>
            <w:vAlign w:val="center"/>
          </w:tcPr>
          <w:p/>
        </w:tc>
        <w:tc>
          <w:tcPr>
            <w:tcW w:w="567" w:type="dxa"/>
            <w:vMerge/>
            <w:tcBorders>
              <w:left w:val="single" w:sz="4" w:space="0" w:color="000000"/>
              <w:right w:val="single" w:sz="4" w:space="0" w:color="000000"/>
            </w:tcBorders>
            <w:noWrap/>
            <w:tcMar>
              <w:top w:w="15" w:type="dxa"/>
              <w:left w:w="15" w:type="dxa"/>
              <w:right w:w="15" w:type="dxa"/>
            </w:tcMar>
            <w:vAlign w:val="center"/>
          </w:tcPr>
          <w:p/>
        </w:tc>
        <w:tc>
          <w:tcPr>
            <w:tcW w:w="1349"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jc w:val="center"/>
              <w:rPr>
                <w:rFonts w:ascii="宋体" w:cs="宋体"/>
                <w:bCs/>
                <w:sz w:val="24"/>
              </w:rPr>
            </w:pPr>
            <w:r>
              <w:rPr>
                <w:rFonts w:hint="eastAsia"/>
                <w:bCs/>
              </w:rPr>
              <w:t>质量指标</w:t>
            </w:r>
          </w:p>
        </w:tc>
        <w:tc>
          <w:tcPr>
            <w:tcW w:w="1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cs="宋体"/>
                <w:sz w:val="18"/>
                <w:szCs w:val="18"/>
              </w:rPr>
            </w:pPr>
            <w:r>
              <w:rPr>
                <w:rFonts w:hint="eastAsia"/>
                <w:sz w:val="18"/>
                <w:szCs w:val="18"/>
              </w:rPr>
              <w:t>维护民族宗教领域稳定</w:t>
            </w:r>
          </w:p>
        </w:tc>
        <w:tc>
          <w:tcPr>
            <w:tcW w:w="31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cs="宋体"/>
                <w:sz w:val="18"/>
                <w:szCs w:val="18"/>
              </w:rPr>
            </w:pPr>
            <w:r>
              <w:rPr>
                <w:rFonts w:hint="eastAsia"/>
                <w:sz w:val="18"/>
                <w:szCs w:val="18"/>
              </w:rPr>
              <w:t>保持稳定</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cs="宋体"/>
                <w:color w:val="000000"/>
                <w:sz w:val="24"/>
              </w:rPr>
            </w:pPr>
            <w:r>
              <w:rPr>
                <w:rFonts w:hint="eastAsia"/>
                <w:sz w:val="18"/>
                <w:szCs w:val="18"/>
              </w:rPr>
              <w:t>100%，开展少数民族民族流动人口的服务管理，维护社会稳定，提高少数民族群众禁毒防毒意识。</w:t>
            </w:r>
          </w:p>
        </w:tc>
      </w:tr>
      <w:tr>
        <w:trPr>
          <w:trHeight w:val="587"/>
        </w:trPr>
        <w:tc>
          <w:tcPr>
            <w:tcW w:w="866" w:type="dxa"/>
            <w:vMerge/>
            <w:tcBorders>
              <w:top w:val="single" w:sz="4" w:space="0" w:color="000000"/>
              <w:left w:val="single" w:sz="4" w:space="0" w:color="000000"/>
              <w:bottom w:val="single" w:sz="4" w:space="0" w:color="000000"/>
              <w:right w:val="single" w:sz="4" w:space="0" w:color="000000"/>
            </w:tcBorders>
            <w:noWrap/>
            <w:vAlign w:val="center"/>
          </w:tcPr>
          <w:p/>
        </w:tc>
        <w:tc>
          <w:tcPr>
            <w:tcW w:w="567" w:type="dxa"/>
            <w:vMerge/>
            <w:tcBorders>
              <w:left w:val="single" w:sz="4" w:space="0" w:color="000000"/>
              <w:right w:val="single" w:sz="4" w:space="0" w:color="000000"/>
            </w:tcBorders>
            <w:noWrap/>
            <w:tcMar>
              <w:top w:w="15" w:type="dxa"/>
              <w:left w:w="15" w:type="dxa"/>
              <w:right w:w="15" w:type="dxa"/>
            </w:tcMar>
            <w:vAlign w:val="center"/>
          </w:tcPr>
          <w:p/>
        </w:tc>
        <w:tc>
          <w:tcPr>
            <w:tcW w:w="1349" w:type="dxa"/>
            <w:vMerge/>
            <w:tcBorders>
              <w:left w:val="single" w:sz="4" w:space="0" w:color="000000"/>
              <w:right w:val="single" w:sz="4" w:space="0" w:color="000000"/>
            </w:tcBorders>
            <w:noWrap/>
            <w:tcMar>
              <w:top w:w="15" w:type="dxa"/>
              <w:left w:w="15" w:type="dxa"/>
              <w:right w:w="15" w:type="dxa"/>
            </w:tcMar>
            <w:vAlign w:val="center"/>
          </w:tcPr>
          <w:p/>
        </w:tc>
        <w:tc>
          <w:tcPr>
            <w:tcW w:w="1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18"/>
                <w:szCs w:val="18"/>
              </w:rPr>
            </w:pPr>
            <w:r>
              <w:rPr>
                <w:rFonts w:hint="eastAsia"/>
                <w:sz w:val="18"/>
                <w:szCs w:val="18"/>
              </w:rPr>
              <w:t>民族宗教干部、少数民族群众培训</w:t>
            </w:r>
          </w:p>
        </w:tc>
        <w:tc>
          <w:tcPr>
            <w:tcW w:w="31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18"/>
                <w:szCs w:val="18"/>
              </w:rPr>
            </w:pPr>
            <w:r>
              <w:rPr>
                <w:rFonts w:hint="eastAsia"/>
                <w:sz w:val="18"/>
                <w:szCs w:val="18"/>
              </w:rPr>
              <w:t>能力提升</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cs="宋体"/>
                <w:color w:val="000000"/>
                <w:sz w:val="24"/>
              </w:rPr>
            </w:pPr>
            <w:r>
              <w:rPr>
                <w:rFonts w:hint="eastAsia"/>
                <w:sz w:val="18"/>
                <w:szCs w:val="18"/>
              </w:rPr>
              <w:t>1</w:t>
            </w:r>
            <w:r>
              <w:rPr>
                <w:sz w:val="18"/>
                <w:szCs w:val="18"/>
              </w:rPr>
              <w:t>00%</w:t>
            </w:r>
            <w:r>
              <w:rPr>
                <w:rFonts w:hint="eastAsia"/>
                <w:sz w:val="18"/>
                <w:szCs w:val="18"/>
              </w:rPr>
              <w:t>，促进民族地区群众技术水平提升。</w:t>
            </w:r>
          </w:p>
        </w:tc>
      </w:tr>
      <w:tr>
        <w:trPr>
          <w:trHeight w:val="587"/>
        </w:trPr>
        <w:tc>
          <w:tcPr>
            <w:tcW w:w="866" w:type="dxa"/>
            <w:vMerge/>
            <w:tcBorders>
              <w:top w:val="single" w:sz="4" w:space="0" w:color="000000"/>
              <w:left w:val="single" w:sz="4" w:space="0" w:color="000000"/>
              <w:bottom w:val="single" w:sz="4" w:space="0" w:color="000000"/>
              <w:right w:val="single" w:sz="4" w:space="0" w:color="000000"/>
            </w:tcBorders>
            <w:noWrap/>
            <w:vAlign w:val="center"/>
          </w:tcPr>
          <w:p/>
        </w:tc>
        <w:tc>
          <w:tcPr>
            <w:tcW w:w="567" w:type="dxa"/>
            <w:vMerge/>
            <w:tcBorders>
              <w:left w:val="single" w:sz="4" w:space="0" w:color="000000"/>
              <w:right w:val="single" w:sz="4" w:space="0" w:color="000000"/>
            </w:tcBorders>
            <w:noWrap/>
            <w:tcMar>
              <w:top w:w="15" w:type="dxa"/>
              <w:left w:w="15" w:type="dxa"/>
              <w:right w:w="15" w:type="dxa"/>
            </w:tcMar>
            <w:vAlign w:val="center"/>
          </w:tcPr>
          <w:p/>
        </w:tc>
        <w:tc>
          <w:tcPr>
            <w:tcW w:w="1349" w:type="dxa"/>
            <w:vMerge/>
            <w:tcBorders>
              <w:left w:val="single" w:sz="4" w:space="0" w:color="000000"/>
              <w:right w:val="single" w:sz="4" w:space="0" w:color="000000"/>
            </w:tcBorders>
            <w:noWrap/>
            <w:tcMar>
              <w:top w:w="15" w:type="dxa"/>
              <w:left w:w="15" w:type="dxa"/>
              <w:right w:w="15" w:type="dxa"/>
            </w:tcMar>
            <w:vAlign w:val="center"/>
          </w:tcPr>
          <w:p/>
        </w:tc>
        <w:tc>
          <w:tcPr>
            <w:tcW w:w="1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18"/>
                <w:szCs w:val="18"/>
              </w:rPr>
            </w:pPr>
            <w:r>
              <w:rPr>
                <w:rFonts w:hint="eastAsia"/>
                <w:sz w:val="18"/>
                <w:szCs w:val="18"/>
              </w:rPr>
              <w:t>两资管理工作</w:t>
            </w:r>
          </w:p>
        </w:tc>
        <w:tc>
          <w:tcPr>
            <w:tcW w:w="31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18"/>
                <w:szCs w:val="18"/>
              </w:rPr>
            </w:pPr>
            <w:r>
              <w:rPr>
                <w:rFonts w:hint="eastAsia"/>
                <w:sz w:val="18"/>
                <w:szCs w:val="18"/>
              </w:rPr>
              <w:t>两资管理工作规范有效</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cs="宋体"/>
                <w:color w:val="000000"/>
                <w:sz w:val="24"/>
              </w:rPr>
            </w:pPr>
            <w:r>
              <w:rPr>
                <w:rFonts w:hint="eastAsia"/>
                <w:sz w:val="18"/>
                <w:szCs w:val="18"/>
              </w:rPr>
              <w:t>1</w:t>
            </w:r>
            <w:r>
              <w:rPr>
                <w:sz w:val="18"/>
                <w:szCs w:val="18"/>
              </w:rPr>
              <w:t>00%</w:t>
            </w:r>
            <w:r>
              <w:rPr>
                <w:rFonts w:hint="eastAsia"/>
                <w:sz w:val="18"/>
                <w:szCs w:val="18"/>
              </w:rPr>
              <w:t>，确保两资项目发挥最大效益。</w:t>
            </w:r>
          </w:p>
        </w:tc>
      </w:tr>
      <w:tr>
        <w:trPr>
          <w:trHeight w:val="587"/>
        </w:trPr>
        <w:tc>
          <w:tcPr>
            <w:tcW w:w="866" w:type="dxa"/>
            <w:vMerge/>
            <w:tcBorders>
              <w:top w:val="single" w:sz="4" w:space="0" w:color="000000"/>
              <w:left w:val="single" w:sz="4" w:space="0" w:color="000000"/>
              <w:bottom w:val="single" w:sz="4" w:space="0" w:color="000000"/>
              <w:right w:val="single" w:sz="4" w:space="0" w:color="000000"/>
            </w:tcBorders>
            <w:noWrap/>
            <w:vAlign w:val="center"/>
          </w:tcPr>
          <w:p/>
        </w:tc>
        <w:tc>
          <w:tcPr>
            <w:tcW w:w="567" w:type="dxa"/>
            <w:vMerge/>
            <w:tcBorders>
              <w:left w:val="single" w:sz="4" w:space="0" w:color="000000"/>
              <w:right w:val="single" w:sz="4" w:space="0" w:color="000000"/>
            </w:tcBorders>
            <w:noWrap/>
            <w:tcMar>
              <w:top w:w="15" w:type="dxa"/>
              <w:left w:w="15" w:type="dxa"/>
              <w:right w:w="15" w:type="dxa"/>
            </w:tcMar>
            <w:vAlign w:val="center"/>
          </w:tcPr>
          <w:p/>
        </w:tc>
        <w:tc>
          <w:tcPr>
            <w:tcW w:w="1349" w:type="dxa"/>
            <w:vMerge/>
            <w:tcBorders>
              <w:left w:val="single" w:sz="4" w:space="0" w:color="000000"/>
              <w:right w:val="single" w:sz="4" w:space="0" w:color="000000"/>
            </w:tcBorders>
            <w:noWrap/>
            <w:tcMar>
              <w:top w:w="15" w:type="dxa"/>
              <w:left w:w="15" w:type="dxa"/>
              <w:right w:w="15" w:type="dxa"/>
            </w:tcMar>
            <w:vAlign w:val="center"/>
          </w:tcPr>
          <w:p/>
        </w:tc>
        <w:tc>
          <w:tcPr>
            <w:tcW w:w="1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18"/>
                <w:szCs w:val="18"/>
              </w:rPr>
            </w:pPr>
            <w:r>
              <w:rPr>
                <w:rFonts w:hint="eastAsia"/>
                <w:sz w:val="18"/>
                <w:szCs w:val="18"/>
              </w:rPr>
              <w:t>巩固民族团结进步事业</w:t>
            </w:r>
          </w:p>
        </w:tc>
        <w:tc>
          <w:tcPr>
            <w:tcW w:w="31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18"/>
                <w:szCs w:val="18"/>
              </w:rPr>
            </w:pPr>
            <w:r>
              <w:rPr>
                <w:rFonts w:hint="eastAsia"/>
                <w:sz w:val="18"/>
                <w:szCs w:val="18"/>
              </w:rPr>
              <w:t>巩固树立中华民族共同体意识</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sz w:val="18"/>
                <w:szCs w:val="18"/>
              </w:rPr>
            </w:pPr>
            <w:r>
              <w:rPr>
                <w:rFonts w:hint="eastAsia"/>
                <w:sz w:val="18"/>
                <w:szCs w:val="18"/>
              </w:rPr>
              <w:t>1</w:t>
            </w:r>
            <w:r>
              <w:rPr>
                <w:sz w:val="18"/>
                <w:szCs w:val="18"/>
              </w:rPr>
              <w:t>00%</w:t>
            </w:r>
            <w:r>
              <w:rPr>
                <w:rFonts w:hint="eastAsia"/>
                <w:sz w:val="18"/>
                <w:szCs w:val="18"/>
              </w:rPr>
              <w:t>，提升全市民族团结进步创建工作质量，促进民族团结事业</w:t>
            </w:r>
          </w:p>
        </w:tc>
      </w:tr>
      <w:tr>
        <w:trPr>
          <w:trHeight w:val="587"/>
        </w:trPr>
        <w:tc>
          <w:tcPr>
            <w:tcW w:w="866" w:type="dxa"/>
            <w:vMerge/>
            <w:tcBorders>
              <w:top w:val="single" w:sz="4" w:space="0" w:color="000000"/>
              <w:left w:val="single" w:sz="4" w:space="0" w:color="000000"/>
              <w:bottom w:val="single" w:sz="4" w:space="0" w:color="000000"/>
              <w:right w:val="single" w:sz="4" w:space="0" w:color="000000"/>
            </w:tcBorders>
            <w:noWrap/>
            <w:vAlign w:val="center"/>
          </w:tcPr>
          <w:p/>
        </w:tc>
        <w:tc>
          <w:tcPr>
            <w:tcW w:w="567" w:type="dxa"/>
            <w:vMerge/>
            <w:tcBorders>
              <w:left w:val="single" w:sz="4" w:space="0" w:color="000000"/>
              <w:right w:val="single" w:sz="4" w:space="0" w:color="000000"/>
            </w:tcBorders>
            <w:noWrap/>
            <w:tcMar>
              <w:top w:w="15" w:type="dxa"/>
              <w:left w:w="15" w:type="dxa"/>
              <w:right w:w="15" w:type="dxa"/>
            </w:tcMar>
            <w:vAlign w:val="center"/>
          </w:tcPr>
          <w:p/>
        </w:tc>
        <w:tc>
          <w:tcPr>
            <w:tcW w:w="1349" w:type="dxa"/>
            <w:vMerge/>
            <w:tcBorders>
              <w:left w:val="single" w:sz="4" w:space="0" w:color="000000"/>
              <w:right w:val="single" w:sz="4" w:space="0" w:color="000000"/>
            </w:tcBorders>
            <w:noWrap/>
            <w:tcMar>
              <w:top w:w="15" w:type="dxa"/>
              <w:left w:w="15" w:type="dxa"/>
              <w:right w:w="15" w:type="dxa"/>
            </w:tcMar>
            <w:vAlign w:val="center"/>
          </w:tcPr>
          <w:p/>
        </w:tc>
        <w:tc>
          <w:tcPr>
            <w:tcW w:w="1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18"/>
                <w:szCs w:val="18"/>
              </w:rPr>
            </w:pPr>
            <w:r>
              <w:rPr>
                <w:rFonts w:hint="eastAsia"/>
                <w:sz w:val="18"/>
                <w:szCs w:val="18"/>
              </w:rPr>
              <w:t>电子政务内网机房建设项目</w:t>
            </w:r>
          </w:p>
        </w:tc>
        <w:tc>
          <w:tcPr>
            <w:tcW w:w="31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18"/>
                <w:szCs w:val="18"/>
              </w:rPr>
            </w:pPr>
            <w:r>
              <w:rPr>
                <w:rFonts w:hint="eastAsia"/>
                <w:sz w:val="18"/>
                <w:szCs w:val="18"/>
              </w:rPr>
              <w:t>符合市电子政务内网建设相关要求和标准</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sz w:val="18"/>
                <w:szCs w:val="18"/>
              </w:rPr>
            </w:pPr>
            <w:r>
              <w:rPr>
                <w:rFonts w:hint="eastAsia"/>
                <w:sz w:val="18"/>
                <w:szCs w:val="18"/>
              </w:rPr>
              <w:t>1</w:t>
            </w:r>
            <w:r>
              <w:rPr>
                <w:sz w:val="18"/>
                <w:szCs w:val="18"/>
              </w:rPr>
              <w:t>00%</w:t>
            </w:r>
            <w:r>
              <w:rPr>
                <w:rFonts w:hint="eastAsia"/>
                <w:sz w:val="18"/>
                <w:szCs w:val="18"/>
              </w:rPr>
              <w:t>符合市电子政务内网建设相关要求和标准，完成了电子政务内网建设。</w:t>
            </w:r>
          </w:p>
        </w:tc>
      </w:tr>
      <w:tr>
        <w:trPr>
          <w:trHeight w:val="497"/>
        </w:trPr>
        <w:tc>
          <w:tcPr>
            <w:tcW w:w="866" w:type="dxa"/>
            <w:vMerge/>
            <w:tcBorders>
              <w:top w:val="single" w:sz="4" w:space="0" w:color="000000"/>
              <w:left w:val="single" w:sz="4" w:space="0" w:color="000000"/>
              <w:bottom w:val="single" w:sz="4" w:space="0" w:color="000000"/>
              <w:right w:val="single" w:sz="4" w:space="0" w:color="000000"/>
            </w:tcBorders>
            <w:noWrap/>
            <w:vAlign w:val="center"/>
          </w:tcPr>
          <w:p/>
        </w:tc>
        <w:tc>
          <w:tcPr>
            <w:tcW w:w="567" w:type="dxa"/>
            <w:vMerge/>
            <w:tcBorders>
              <w:left w:val="single" w:sz="4" w:space="0" w:color="000000"/>
              <w:right w:val="single" w:sz="4" w:space="0" w:color="000000"/>
            </w:tcBorders>
            <w:noWrap/>
            <w:tcMar>
              <w:top w:w="15" w:type="dxa"/>
              <w:left w:w="15" w:type="dxa"/>
              <w:right w:w="15" w:type="dxa"/>
            </w:tcMar>
            <w:vAlign w:val="center"/>
          </w:tcPr>
          <w:p/>
        </w:tc>
        <w:tc>
          <w:tcPr>
            <w:tcW w:w="13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bCs/>
                <w:sz w:val="24"/>
              </w:rPr>
            </w:pPr>
            <w:r>
              <w:rPr>
                <w:rFonts w:hint="eastAsia"/>
                <w:bCs/>
              </w:rPr>
              <w:t>时效指标</w:t>
            </w:r>
          </w:p>
        </w:tc>
        <w:tc>
          <w:tcPr>
            <w:tcW w:w="1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cs="宋体"/>
                <w:sz w:val="18"/>
                <w:szCs w:val="18"/>
              </w:rPr>
            </w:pPr>
            <w:r>
              <w:rPr>
                <w:rFonts w:hint="eastAsia"/>
                <w:sz w:val="18"/>
                <w:szCs w:val="18"/>
              </w:rPr>
              <w:t>按工作计划推进</w:t>
            </w:r>
          </w:p>
        </w:tc>
        <w:tc>
          <w:tcPr>
            <w:tcW w:w="31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cs="宋体"/>
                <w:sz w:val="18"/>
                <w:szCs w:val="18"/>
              </w:rPr>
            </w:pPr>
            <w:r>
              <w:rPr>
                <w:rFonts w:hint="eastAsia"/>
                <w:sz w:val="18"/>
                <w:szCs w:val="18"/>
              </w:rPr>
              <w:t>202</w:t>
            </w:r>
            <w:r>
              <w:rPr>
                <w:sz w:val="18"/>
                <w:szCs w:val="18"/>
              </w:rPr>
              <w:t>1</w:t>
            </w:r>
            <w:r>
              <w:rPr>
                <w:rFonts w:hint="eastAsia"/>
                <w:sz w:val="18"/>
                <w:szCs w:val="18"/>
              </w:rPr>
              <w:t>年全年</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sz w:val="18"/>
                <w:szCs w:val="18"/>
              </w:rPr>
            </w:pPr>
            <w:r>
              <w:rPr>
                <w:sz w:val="18"/>
                <w:szCs w:val="18"/>
              </w:rPr>
              <w:t>86</w:t>
            </w:r>
            <w:r>
              <w:rPr>
                <w:rFonts w:hint="eastAsia"/>
                <w:sz w:val="18"/>
                <w:szCs w:val="18"/>
              </w:rPr>
              <w:t>%</w:t>
            </w:r>
          </w:p>
        </w:tc>
      </w:tr>
      <w:tr>
        <w:trPr>
          <w:trHeight w:val="677"/>
        </w:trPr>
        <w:tc>
          <w:tcPr>
            <w:tcW w:w="866" w:type="dxa"/>
            <w:vMerge/>
            <w:tcBorders>
              <w:top w:val="single" w:sz="4" w:space="0" w:color="000000"/>
              <w:left w:val="single" w:sz="4" w:space="0" w:color="000000"/>
              <w:bottom w:val="single" w:sz="4" w:space="0" w:color="000000"/>
              <w:right w:val="single" w:sz="4" w:space="0" w:color="000000"/>
            </w:tcBorders>
            <w:noWrap/>
            <w:vAlign w:val="center"/>
          </w:tcPr>
          <w:p/>
        </w:tc>
        <w:tc>
          <w:tcPr>
            <w:tcW w:w="567" w:type="dxa"/>
            <w:vMerge/>
            <w:tcBorders>
              <w:left w:val="single" w:sz="4" w:space="0" w:color="000000"/>
              <w:right w:val="single" w:sz="4" w:space="0" w:color="000000"/>
            </w:tcBorders>
            <w:noWrap/>
            <w:tcMar>
              <w:top w:w="15" w:type="dxa"/>
              <w:left w:w="15" w:type="dxa"/>
              <w:right w:w="15" w:type="dxa"/>
            </w:tcMar>
            <w:vAlign w:val="center"/>
          </w:tcPr>
          <w:p/>
        </w:tc>
        <w:tc>
          <w:tcPr>
            <w:tcW w:w="1349"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jc w:val="center"/>
              <w:rPr>
                <w:rFonts w:ascii="宋体" w:cs="宋体"/>
                <w:bCs/>
                <w:sz w:val="24"/>
              </w:rPr>
            </w:pPr>
            <w:r>
              <w:rPr>
                <w:rFonts w:hint="eastAsia"/>
                <w:bCs/>
              </w:rPr>
              <w:t>成本指标</w:t>
            </w:r>
          </w:p>
        </w:tc>
        <w:tc>
          <w:tcPr>
            <w:tcW w:w="1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cs="宋体"/>
                <w:sz w:val="18"/>
                <w:szCs w:val="18"/>
              </w:rPr>
            </w:pPr>
            <w:r>
              <w:rPr>
                <w:rFonts w:hint="eastAsia"/>
                <w:sz w:val="18"/>
                <w:szCs w:val="18"/>
              </w:rPr>
              <w:t>困难群众应急补助及慰问；民族宗教风险防范及矛盾调处，城市社区民族工作试点</w:t>
            </w:r>
          </w:p>
        </w:tc>
        <w:tc>
          <w:tcPr>
            <w:tcW w:w="31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cs="宋体"/>
                <w:sz w:val="18"/>
                <w:szCs w:val="18"/>
              </w:rPr>
            </w:pPr>
            <w:r>
              <w:rPr>
                <w:rFonts w:hint="eastAsia"/>
                <w:sz w:val="18"/>
                <w:szCs w:val="18"/>
              </w:rPr>
              <w:t>共2</w:t>
            </w:r>
            <w:r>
              <w:rPr>
                <w:sz w:val="18"/>
                <w:szCs w:val="18"/>
              </w:rPr>
              <w:t>0</w:t>
            </w:r>
            <w:r>
              <w:rPr>
                <w:rFonts w:hint="eastAsia"/>
                <w:sz w:val="18"/>
                <w:szCs w:val="18"/>
              </w:rPr>
              <w:t>万元</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18"/>
                <w:szCs w:val="18"/>
              </w:rPr>
            </w:pPr>
            <w:r>
              <w:rPr>
                <w:sz w:val="18"/>
                <w:szCs w:val="18"/>
              </w:rPr>
              <w:t>44</w:t>
            </w:r>
            <w:r>
              <w:rPr>
                <w:rFonts w:hint="eastAsia"/>
                <w:sz w:val="18"/>
                <w:szCs w:val="18"/>
              </w:rPr>
              <w:t>%，8</w:t>
            </w:r>
            <w:r>
              <w:rPr>
                <w:sz w:val="18"/>
                <w:szCs w:val="18"/>
              </w:rPr>
              <w:t>.728</w:t>
            </w:r>
            <w:r>
              <w:rPr>
                <w:rFonts w:hint="eastAsia"/>
                <w:sz w:val="18"/>
                <w:szCs w:val="18"/>
              </w:rPr>
              <w:t>万元</w:t>
            </w:r>
          </w:p>
        </w:tc>
      </w:tr>
      <w:tr>
        <w:trPr>
          <w:trHeight w:val="677"/>
        </w:trPr>
        <w:tc>
          <w:tcPr>
            <w:tcW w:w="866" w:type="dxa"/>
            <w:vMerge/>
            <w:tcBorders>
              <w:top w:val="single" w:sz="4" w:space="0" w:color="000000"/>
              <w:left w:val="single" w:sz="4" w:space="0" w:color="000000"/>
              <w:bottom w:val="single" w:sz="4" w:space="0" w:color="000000"/>
              <w:right w:val="single" w:sz="4" w:space="0" w:color="000000"/>
            </w:tcBorders>
            <w:noWrap/>
            <w:vAlign w:val="center"/>
          </w:tcPr>
          <w:p/>
        </w:tc>
        <w:tc>
          <w:tcPr>
            <w:tcW w:w="567" w:type="dxa"/>
            <w:vMerge/>
            <w:tcBorders>
              <w:left w:val="single" w:sz="4" w:space="0" w:color="000000"/>
              <w:right w:val="single" w:sz="4" w:space="0" w:color="000000"/>
            </w:tcBorders>
            <w:noWrap/>
            <w:tcMar>
              <w:top w:w="15" w:type="dxa"/>
              <w:left w:w="15" w:type="dxa"/>
              <w:right w:w="15" w:type="dxa"/>
            </w:tcMar>
            <w:vAlign w:val="center"/>
          </w:tcPr>
          <w:p/>
        </w:tc>
        <w:tc>
          <w:tcPr>
            <w:tcW w:w="1349" w:type="dxa"/>
            <w:vMerge/>
            <w:tcBorders>
              <w:left w:val="single" w:sz="4" w:space="0" w:color="000000"/>
              <w:right w:val="single" w:sz="4" w:space="0" w:color="000000"/>
            </w:tcBorders>
            <w:noWrap/>
            <w:tcMar>
              <w:top w:w="15" w:type="dxa"/>
              <w:left w:w="15" w:type="dxa"/>
              <w:right w:w="15" w:type="dxa"/>
            </w:tcMar>
            <w:vAlign w:val="center"/>
          </w:tcPr>
          <w:p/>
        </w:tc>
        <w:tc>
          <w:tcPr>
            <w:tcW w:w="1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18"/>
                <w:szCs w:val="18"/>
              </w:rPr>
            </w:pPr>
            <w:r>
              <w:rPr>
                <w:rFonts w:hint="eastAsia"/>
                <w:sz w:val="18"/>
                <w:szCs w:val="18"/>
              </w:rPr>
              <w:t>民族地区实用技术、劳动技能培训；民族宗教工作培训和民宗干部学校运行经费</w:t>
            </w:r>
          </w:p>
        </w:tc>
        <w:tc>
          <w:tcPr>
            <w:tcW w:w="31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18"/>
                <w:szCs w:val="18"/>
              </w:rPr>
            </w:pPr>
            <w:r>
              <w:rPr>
                <w:rFonts w:hint="eastAsia"/>
                <w:sz w:val="18"/>
                <w:szCs w:val="18"/>
              </w:rPr>
              <w:t>43.5万元</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sz w:val="18"/>
                <w:szCs w:val="18"/>
              </w:rPr>
            </w:pPr>
            <w:r>
              <w:rPr>
                <w:rFonts w:hint="eastAsia"/>
                <w:sz w:val="18"/>
                <w:szCs w:val="18"/>
              </w:rPr>
              <w:t>1</w:t>
            </w:r>
            <w:r>
              <w:rPr>
                <w:sz w:val="18"/>
                <w:szCs w:val="18"/>
              </w:rPr>
              <w:t>00%</w:t>
            </w:r>
            <w:r>
              <w:rPr>
                <w:rFonts w:hint="eastAsia"/>
                <w:sz w:val="18"/>
                <w:szCs w:val="18"/>
              </w:rPr>
              <w:t>，4</w:t>
            </w:r>
            <w:r>
              <w:rPr>
                <w:sz w:val="18"/>
                <w:szCs w:val="18"/>
              </w:rPr>
              <w:t>3.5</w:t>
            </w:r>
            <w:r>
              <w:rPr>
                <w:rFonts w:hint="eastAsia"/>
                <w:sz w:val="18"/>
                <w:szCs w:val="18"/>
              </w:rPr>
              <w:t>万元</w:t>
            </w:r>
          </w:p>
        </w:tc>
      </w:tr>
      <w:tr>
        <w:trPr>
          <w:trHeight w:val="338"/>
        </w:trPr>
        <w:tc>
          <w:tcPr>
            <w:tcW w:w="866" w:type="dxa"/>
            <w:vMerge/>
            <w:tcBorders>
              <w:top w:val="single" w:sz="4" w:space="0" w:color="000000"/>
              <w:left w:val="single" w:sz="4" w:space="0" w:color="000000"/>
              <w:bottom w:val="single" w:sz="4" w:space="0" w:color="000000"/>
              <w:right w:val="single" w:sz="4" w:space="0" w:color="000000"/>
            </w:tcBorders>
            <w:noWrap/>
            <w:vAlign w:val="center"/>
          </w:tcPr>
          <w:p/>
        </w:tc>
        <w:tc>
          <w:tcPr>
            <w:tcW w:w="567" w:type="dxa"/>
            <w:vMerge/>
            <w:tcBorders>
              <w:left w:val="single" w:sz="4" w:space="0" w:color="000000"/>
              <w:right w:val="single" w:sz="4" w:space="0" w:color="000000"/>
            </w:tcBorders>
            <w:noWrap/>
            <w:tcMar>
              <w:top w:w="15" w:type="dxa"/>
              <w:left w:w="15" w:type="dxa"/>
              <w:right w:w="15" w:type="dxa"/>
            </w:tcMar>
            <w:vAlign w:val="center"/>
          </w:tcPr>
          <w:p/>
        </w:tc>
        <w:tc>
          <w:tcPr>
            <w:tcW w:w="1349" w:type="dxa"/>
            <w:vMerge/>
            <w:tcBorders>
              <w:left w:val="single" w:sz="4" w:space="0" w:color="000000"/>
              <w:right w:val="single" w:sz="4" w:space="0" w:color="000000"/>
            </w:tcBorders>
            <w:noWrap/>
            <w:tcMar>
              <w:top w:w="15" w:type="dxa"/>
              <w:left w:w="15" w:type="dxa"/>
              <w:right w:w="15" w:type="dxa"/>
            </w:tcMar>
            <w:vAlign w:val="center"/>
          </w:tcPr>
          <w:p/>
        </w:tc>
        <w:tc>
          <w:tcPr>
            <w:tcW w:w="1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18"/>
                <w:szCs w:val="18"/>
              </w:rPr>
            </w:pPr>
            <w:r>
              <w:rPr>
                <w:rFonts w:hint="eastAsia"/>
                <w:sz w:val="18"/>
                <w:szCs w:val="18"/>
              </w:rPr>
              <w:t>两资项目管理、培训</w:t>
            </w:r>
          </w:p>
        </w:tc>
        <w:tc>
          <w:tcPr>
            <w:tcW w:w="31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18"/>
                <w:szCs w:val="18"/>
              </w:rPr>
            </w:pPr>
            <w:r>
              <w:rPr>
                <w:rFonts w:hint="eastAsia"/>
                <w:sz w:val="18"/>
                <w:szCs w:val="18"/>
              </w:rPr>
              <w:t>5万元</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sz w:val="18"/>
                <w:szCs w:val="18"/>
              </w:rPr>
            </w:pPr>
            <w:r>
              <w:rPr>
                <w:rFonts w:hint="eastAsia"/>
                <w:sz w:val="18"/>
                <w:szCs w:val="18"/>
              </w:rPr>
              <w:t>6</w:t>
            </w:r>
            <w:r>
              <w:rPr>
                <w:sz w:val="18"/>
                <w:szCs w:val="18"/>
              </w:rPr>
              <w:t>7%</w:t>
            </w:r>
            <w:r>
              <w:rPr>
                <w:rFonts w:hint="eastAsia"/>
                <w:sz w:val="18"/>
                <w:szCs w:val="18"/>
              </w:rPr>
              <w:t>，3.36万元</w:t>
            </w:r>
          </w:p>
        </w:tc>
      </w:tr>
      <w:tr>
        <w:trPr>
          <w:trHeight w:val="272"/>
        </w:trPr>
        <w:tc>
          <w:tcPr>
            <w:tcW w:w="866" w:type="dxa"/>
            <w:vMerge/>
            <w:tcBorders>
              <w:top w:val="single" w:sz="4" w:space="0" w:color="000000"/>
              <w:left w:val="single" w:sz="4" w:space="0" w:color="000000"/>
              <w:bottom w:val="single" w:sz="4" w:space="0" w:color="000000"/>
              <w:right w:val="single" w:sz="4" w:space="0" w:color="000000"/>
            </w:tcBorders>
            <w:noWrap/>
            <w:vAlign w:val="center"/>
          </w:tcPr>
          <w:p/>
        </w:tc>
        <w:tc>
          <w:tcPr>
            <w:tcW w:w="567" w:type="dxa"/>
            <w:vMerge/>
            <w:tcBorders>
              <w:left w:val="single" w:sz="4" w:space="0" w:color="000000"/>
              <w:right w:val="single" w:sz="4" w:space="0" w:color="000000"/>
            </w:tcBorders>
            <w:noWrap/>
            <w:tcMar>
              <w:top w:w="15" w:type="dxa"/>
              <w:left w:w="15" w:type="dxa"/>
              <w:right w:w="15" w:type="dxa"/>
            </w:tcMar>
            <w:vAlign w:val="center"/>
          </w:tcPr>
          <w:p/>
        </w:tc>
        <w:tc>
          <w:tcPr>
            <w:tcW w:w="1349" w:type="dxa"/>
            <w:vMerge/>
            <w:tcBorders>
              <w:left w:val="single" w:sz="4" w:space="0" w:color="000000"/>
              <w:right w:val="single" w:sz="4" w:space="0" w:color="000000"/>
            </w:tcBorders>
            <w:noWrap/>
            <w:tcMar>
              <w:top w:w="15" w:type="dxa"/>
              <w:left w:w="15" w:type="dxa"/>
              <w:right w:w="15" w:type="dxa"/>
            </w:tcMar>
            <w:vAlign w:val="center"/>
          </w:tcPr>
          <w:p/>
        </w:tc>
        <w:tc>
          <w:tcPr>
            <w:tcW w:w="1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18"/>
                <w:szCs w:val="18"/>
              </w:rPr>
            </w:pPr>
            <w:r>
              <w:rPr>
                <w:rFonts w:hint="eastAsia"/>
                <w:sz w:val="18"/>
                <w:szCs w:val="18"/>
              </w:rPr>
              <w:t>民族团结进步创建经费</w:t>
            </w:r>
          </w:p>
        </w:tc>
        <w:tc>
          <w:tcPr>
            <w:tcW w:w="31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18"/>
                <w:szCs w:val="18"/>
              </w:rPr>
            </w:pPr>
            <w:r>
              <w:rPr>
                <w:rFonts w:hint="eastAsia"/>
                <w:sz w:val="18"/>
                <w:szCs w:val="18"/>
              </w:rPr>
              <w:t>12万元</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sz w:val="18"/>
                <w:szCs w:val="18"/>
              </w:rPr>
            </w:pPr>
            <w:r>
              <w:rPr>
                <w:rFonts w:hint="eastAsia"/>
                <w:sz w:val="18"/>
                <w:szCs w:val="18"/>
              </w:rPr>
              <w:t>9</w:t>
            </w:r>
            <w:r>
              <w:rPr>
                <w:sz w:val="18"/>
                <w:szCs w:val="18"/>
              </w:rPr>
              <w:t>7%</w:t>
            </w:r>
            <w:r>
              <w:rPr>
                <w:rFonts w:hint="eastAsia"/>
                <w:sz w:val="18"/>
                <w:szCs w:val="18"/>
              </w:rPr>
              <w:t>，11.64万元</w:t>
            </w:r>
          </w:p>
        </w:tc>
      </w:tr>
      <w:tr>
        <w:trPr>
          <w:trHeight w:val="490"/>
        </w:trPr>
        <w:tc>
          <w:tcPr>
            <w:tcW w:w="866" w:type="dxa"/>
            <w:vMerge/>
            <w:tcBorders>
              <w:top w:val="single" w:sz="4" w:space="0" w:color="000000"/>
              <w:left w:val="single" w:sz="4" w:space="0" w:color="000000"/>
              <w:bottom w:val="single" w:sz="4" w:space="0" w:color="000000"/>
              <w:right w:val="single" w:sz="4" w:space="0" w:color="000000"/>
            </w:tcBorders>
            <w:noWrap/>
            <w:vAlign w:val="center"/>
          </w:tcPr>
          <w:p/>
        </w:tc>
        <w:tc>
          <w:tcPr>
            <w:tcW w:w="567"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349"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18"/>
                <w:szCs w:val="18"/>
              </w:rPr>
            </w:pPr>
            <w:r>
              <w:rPr>
                <w:rFonts w:hint="eastAsia"/>
                <w:sz w:val="18"/>
                <w:szCs w:val="18"/>
              </w:rPr>
              <w:t>电子政务内网机房建设项目</w:t>
            </w:r>
          </w:p>
        </w:tc>
        <w:tc>
          <w:tcPr>
            <w:tcW w:w="31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18"/>
                <w:szCs w:val="18"/>
              </w:rPr>
            </w:pPr>
            <w:r>
              <w:rPr>
                <w:rFonts w:hint="eastAsia"/>
                <w:sz w:val="18"/>
                <w:szCs w:val="18"/>
              </w:rPr>
              <w:t>16.5万元</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sz w:val="18"/>
                <w:szCs w:val="18"/>
              </w:rPr>
            </w:pPr>
            <w:r>
              <w:rPr>
                <w:rFonts w:hint="eastAsia"/>
                <w:sz w:val="18"/>
                <w:szCs w:val="18"/>
              </w:rPr>
              <w:t>1</w:t>
            </w:r>
            <w:r>
              <w:rPr>
                <w:sz w:val="18"/>
                <w:szCs w:val="18"/>
              </w:rPr>
              <w:t>00%</w:t>
            </w:r>
            <w:r>
              <w:rPr>
                <w:rFonts w:hint="eastAsia"/>
                <w:sz w:val="18"/>
                <w:szCs w:val="18"/>
              </w:rPr>
              <w:t>，1</w:t>
            </w:r>
            <w:r>
              <w:rPr>
                <w:sz w:val="18"/>
                <w:szCs w:val="18"/>
              </w:rPr>
              <w:t>6.5</w:t>
            </w:r>
            <w:r>
              <w:rPr>
                <w:rFonts w:hint="eastAsia"/>
                <w:sz w:val="18"/>
                <w:szCs w:val="18"/>
              </w:rPr>
              <w:t>万元</w:t>
            </w:r>
          </w:p>
        </w:tc>
      </w:tr>
      <w:tr>
        <w:trPr>
          <w:trHeight w:val="692"/>
        </w:trPr>
        <w:tc>
          <w:tcPr>
            <w:tcW w:w="866" w:type="dxa"/>
            <w:vMerge/>
            <w:tcBorders>
              <w:top w:val="single" w:sz="4" w:space="0" w:color="000000"/>
              <w:left w:val="single" w:sz="4" w:space="0" w:color="000000"/>
              <w:bottom w:val="single" w:sz="4" w:space="0" w:color="000000"/>
              <w:right w:val="single" w:sz="4" w:space="0" w:color="000000"/>
            </w:tcBorders>
            <w:noWrap/>
            <w:vAlign w:val="center"/>
          </w:tc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效益指标</w:t>
            </w:r>
          </w:p>
        </w:tc>
        <w:tc>
          <w:tcPr>
            <w:tcW w:w="13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bCs/>
                <w:sz w:val="24"/>
              </w:rPr>
            </w:pPr>
            <w:r>
              <w:rPr>
                <w:rFonts w:hint="eastAsia"/>
                <w:bCs/>
              </w:rPr>
              <w:t>社会效益</w:t>
              <w:br/>
              <w:t>指标</w:t>
            </w:r>
          </w:p>
        </w:tc>
        <w:tc>
          <w:tcPr>
            <w:tcW w:w="1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cs="宋体"/>
                <w:sz w:val="18"/>
                <w:szCs w:val="18"/>
              </w:rPr>
            </w:pPr>
            <w:r>
              <w:rPr>
                <w:rFonts w:hint="eastAsia"/>
                <w:sz w:val="18"/>
                <w:szCs w:val="18"/>
              </w:rPr>
              <w:t>维护民族宗教领域和谐稳定，促进民族地区各项事业发展</w:t>
            </w:r>
          </w:p>
        </w:tc>
        <w:tc>
          <w:tcPr>
            <w:tcW w:w="31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cs="宋体"/>
                <w:sz w:val="18"/>
                <w:szCs w:val="18"/>
              </w:rPr>
            </w:pPr>
            <w:r>
              <w:rPr>
                <w:rFonts w:hint="eastAsia"/>
                <w:sz w:val="18"/>
                <w:szCs w:val="18"/>
              </w:rPr>
              <w:t>100%-80%（含）</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sz w:val="18"/>
                <w:szCs w:val="18"/>
              </w:rPr>
            </w:pPr>
            <w:r>
              <w:rPr>
                <w:rFonts w:hint="eastAsia"/>
                <w:sz w:val="18"/>
                <w:szCs w:val="18"/>
              </w:rPr>
              <w:t>100%</w:t>
            </w:r>
          </w:p>
        </w:tc>
      </w:tr>
      <w:tr>
        <w:trPr>
          <w:trHeight w:val="688"/>
        </w:trPr>
        <w:tc>
          <w:tcPr>
            <w:tcW w:w="866" w:type="dxa"/>
            <w:vMerge/>
            <w:tcBorders>
              <w:top w:val="single" w:sz="4" w:space="0" w:color="000000"/>
              <w:left w:val="single" w:sz="4" w:space="0" w:color="000000"/>
              <w:bottom w:val="single" w:sz="4" w:space="0" w:color="000000"/>
              <w:right w:val="single" w:sz="4" w:space="0" w:color="000000"/>
            </w:tcBorders>
            <w:noWrap/>
            <w:vAlign w:val="center"/>
          </w:tc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满意度指标</w:t>
            </w:r>
          </w:p>
        </w:tc>
        <w:tc>
          <w:tcPr>
            <w:tcW w:w="13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bCs/>
                <w:sz w:val="24"/>
              </w:rPr>
            </w:pPr>
            <w:r>
              <w:rPr>
                <w:rFonts w:hint="eastAsia"/>
                <w:bCs/>
              </w:rPr>
              <w:t>服务对象</w:t>
              <w:br/>
              <w:t>满意度指标</w:t>
            </w:r>
          </w:p>
        </w:tc>
        <w:tc>
          <w:tcPr>
            <w:tcW w:w="1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cs="宋体"/>
                <w:sz w:val="18"/>
                <w:szCs w:val="18"/>
              </w:rPr>
            </w:pPr>
            <w:r>
              <w:rPr>
                <w:rFonts w:hint="eastAsia"/>
                <w:sz w:val="18"/>
                <w:szCs w:val="18"/>
              </w:rPr>
              <w:t>少数民族群众及各级民族宗教干部</w:t>
            </w:r>
          </w:p>
        </w:tc>
        <w:tc>
          <w:tcPr>
            <w:tcW w:w="31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cs="宋体"/>
                <w:sz w:val="18"/>
                <w:szCs w:val="18"/>
              </w:rPr>
            </w:pPr>
            <w:r>
              <w:rPr>
                <w:rFonts w:hint="eastAsia"/>
                <w:sz w:val="18"/>
                <w:szCs w:val="18"/>
              </w:rPr>
              <w:t>100%-80%（含）</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sz w:val="18"/>
                <w:szCs w:val="18"/>
              </w:rPr>
            </w:pPr>
            <w:r>
              <w:rPr>
                <w:rFonts w:hint="eastAsia"/>
                <w:sz w:val="18"/>
                <w:szCs w:val="18"/>
              </w:rPr>
              <w:t>100%</w:t>
            </w:r>
          </w:p>
        </w:tc>
      </w:tr>
    </w:tbl>
    <w:p>
      <w:pPr>
        <w:pStyle w:val="2"/>
        <w:rPr>
          <w:rFonts w:hint="eastAsia"/>
          <w:lang w:eastAsia="zh-CN"/>
        </w:rPr>
      </w:pPr>
      <w:bookmarkStart w:id="87" w:name="_Toc25761"/>
      <w:bookmarkStart w:id="88" w:name="_Toc15377226"/>
      <w:r>
        <w:rPr>
          <w:rFonts w:hint="eastAsia"/>
          <w:lang w:val="en-US" w:eastAsia="zh-CN"/>
        </w:rPr>
        <w:t>附件3</w:t>
      </w:r>
      <w:bookmarkEnd w:id="87"/>
    </w:p>
    <w:p>
      <w:pPr>
        <w:widowControl/>
        <w:snapToGrid w:val="0"/>
        <w:spacing w:line="300" w:lineRule="auto"/>
        <w:jc w:val="center"/>
        <w:rPr>
          <w:rFonts w:ascii="方正小标宋_GBK" w:eastAsia="方正小标宋_GBK" w:hint="eastAsia"/>
          <w:color w:val="000000"/>
          <w:kern w:val="0"/>
          <w:sz w:val="44"/>
          <w:szCs w:val="44"/>
        </w:rPr>
      </w:pPr>
      <w:r>
        <w:rPr>
          <w:rFonts w:ascii="方正小标宋_GBK" w:eastAsia="方正小标宋_GBK" w:hint="eastAsia"/>
          <w:color w:val="000000"/>
          <w:kern w:val="0"/>
          <w:sz w:val="44"/>
          <w:szCs w:val="44"/>
        </w:rPr>
        <w:t>攀枝花市民族宗教事务委员会</w:t>
      </w:r>
    </w:p>
    <w:p>
      <w:pPr>
        <w:widowControl/>
        <w:snapToGrid w:val="0"/>
        <w:spacing w:line="300" w:lineRule="auto"/>
        <w:jc w:val="center"/>
        <w:rPr>
          <w:rFonts w:ascii="方正小标宋_GBK" w:eastAsia="方正小标宋_GBK" w:hint="eastAsia"/>
          <w:color w:val="000000"/>
          <w:kern w:val="0"/>
          <w:sz w:val="44"/>
          <w:szCs w:val="44"/>
        </w:rPr>
      </w:pPr>
      <w:r>
        <w:rPr>
          <w:rFonts w:ascii="方正小标宋_GBK" w:eastAsia="方正小标宋_GBK" w:hint="eastAsia"/>
          <w:color w:val="000000"/>
          <w:kern w:val="0"/>
          <w:sz w:val="44"/>
          <w:szCs w:val="44"/>
        </w:rPr>
        <w:t>2021年度部门预算项目支出绩效自评报告</w:t>
      </w:r>
    </w:p>
    <w:p>
      <w:pPr>
        <w:widowControl/>
        <w:spacing w:line="288" w:lineRule="auto"/>
        <w:jc w:val="left"/>
        <w:rPr>
          <w:rFonts w:ascii="黑体" w:eastAsia="黑体" w:hint="eastAsia"/>
          <w:color w:val="000000"/>
          <w:kern w:val="0"/>
          <w:szCs w:val="32"/>
        </w:rPr>
      </w:pPr>
    </w:p>
    <w:p>
      <w:pPr>
        <w:widowControl/>
        <w:snapToGrid w:val="0"/>
        <w:spacing w:line="353" w:lineRule="auto"/>
        <w:ind w:firstLineChars="200" w:firstLine="640"/>
        <w:contextualSpacing/>
        <w:jc w:val="left"/>
        <w:rPr>
          <w:rFonts w:ascii="黑体" w:eastAsia="黑体" w:hint="eastAsia"/>
          <w:color w:val="000000"/>
          <w:kern w:val="0"/>
          <w:sz w:val="32"/>
          <w:szCs w:val="32"/>
        </w:rPr>
      </w:pPr>
      <w:r>
        <w:rPr>
          <w:rFonts w:ascii="黑体" w:eastAsia="黑体" w:hint="eastAsia"/>
          <w:color w:val="000000"/>
          <w:kern w:val="0"/>
          <w:sz w:val="32"/>
          <w:szCs w:val="32"/>
        </w:rPr>
        <w:t>一、全市性宗教团体工作经费</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（一）项目概况</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1.项目基本情况。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（1）项目主管部门（单位）在该项目管理中的职能</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我委依法保护公民宗教信仰自由和正常的宗教活动，维护宗教界合法权益，支持宗教团体加强自身建设。我市各全市性宗教团体在引导信教群众维护民族团结、宗教和顺、社会稳定，为全面建设幸福美丽攀枝花有积极贡献，但各全市性宗教团体的自养能力较差，日常办公及业务工作开展经费紧张，需对各全市性宗教团体给予一定金额工作经费补助，解决各全市性宗教团体办公及业务工作开展中的一些实际困难。</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（2）项目立项、资金申报的依据</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根据中央、省相关文件精神和《中共攀枝花市委 攀枝花市人民政府关于切实加强和改进新形势下宗教工作的实施意见》中：“加强党委的领导，落实主体责任。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（3）资金管理办法制定情况，资金支持具体项目的条件、范围与支持方式概况。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根据我市各全市性宗教团体实际情况初步确定各全市性宗教团体工作经费发放标准，报委党组会审议，审议通过后按照《攀枝花市全市性宗教团体工作经费使用范围》要求，对经费使用情况进行监督管理，确保工作经费落到实处，取得实效。</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（4）资金分配的原则及考虑因素。</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通过对各全市性宗教团体给予一定金额工作经费补助，解决各全市性宗教团体办公及业务工作开展中的一些实际困难，进一步加强我市各全市性宗教团体的组织、思想、制度等建设，充分发挥各宗教团体桥梁纽带作用，对维持我市宗教界和谐稳定具有重大积极作用。</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2.项目绩效目标。</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（1）项目主要内容。</w:t>
      </w:r>
    </w:p>
    <w:p>
      <w:pPr>
        <w:widowControl/>
        <w:spacing w:line="576" w:lineRule="exact"/>
        <w:ind w:firstLineChars="200" w:firstLine="640"/>
        <w:jc w:val="left"/>
        <w:rPr>
          <w:rFonts w:ascii="仿宋_GB2312" w:hAnsi="仿宋_GB2312" w:hint="eastAsia"/>
        </w:rPr>
      </w:pPr>
      <w:r>
        <w:rPr>
          <w:rFonts w:ascii="仿宋_GB2312" w:eastAsia="仿宋_GB2312" w:hint="eastAsia"/>
          <w:color w:val="333333"/>
          <w:sz w:val="32"/>
          <w:szCs w:val="32"/>
        </w:rPr>
        <w:t>通过对各全市性宗教团体给予一定金额工作经费补助，解决各全市性宗教团体办公及业务工作开展中的一些实际困难，进一步加强我市各全市性宗教团体的组织、思想、制度等建设，充分发挥各宗教团体桥梁纽带作用，对维持我市宗教界和谐稳定具有重大积极作用。</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（2）项目应实现的具体绩效目标</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市伊斯兰教协会工作经费7万元、市佛教协会工作经费6万元、市天主教爱国会工作经费6万元、市基督教三自爱国运动委员会工作经费6万元，合计25万元。进一步加强我市各全市性宗教团体的组织、思想、制度等建设，充分发挥各宗教团体桥梁纽带作用，对维持我市宗教界和谐稳定具有重大积极作用。</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（3）分析评价申报内容是否与实际相符，申报目标是否合理可行。</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项目分析评价均来源项目实际情况，与实际相符，目标合理可行。</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（二）项目资金申报及使用情况</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1.项目资金申报及批复情况。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年初预算申请25万元，2021年年初预算批复25万元。</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2.资金计划、到位及使用情况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（1）资金计划。项目计划2021年市本级拨付25万元，市级财政资金到位25万元。</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（2）资金到位。2021年年初预算下达项目资金25万元（其他民族事务支出2012399），资金到位率100%。</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3）资金使用。2021年该笔项目资金实际拨付市伊斯兰教协会工作经费7万元、市佛教协会工作经费6万元、市天主教爱国会工作经费6万元、市基督教三自爱国运动委员会工作经费6万元，合计25万元。与预算相符。全年预算执行率100%。</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3.项目财务管理情况。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单位财务管理制度健全，严格执行财务管理制度，账务处理及时，会计核算规范。</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（三）项目实施及管理情况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根据我市各全市性宗教团体实际情况初步确定各全市性宗教团体工作经费发放标准，报委党组会审议，审议通过后按照《攀枝花市全市性宗教团体工作经费使用范围》要求，对经费使用情况进行监督管理，确保工作经费落到实处，取得实效。</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（四）项目绩效情况</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1.项目完成情况。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市伊斯兰教协会工作经费7万元、市佛教协会工作经费6万元、市天主教爱国会工作经费6万元、市基督教三自爱国运动委员会工作经费6万元，合计25万元。</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2.项目效益情况。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进一步加强我市各全市性宗教团体的组织、思想、制度等建设，充分发挥各宗教团体桥梁纽带作用，对维持我市宗教界和谐稳定具有重大积极作用。</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（五）评价结论及建议</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widowControl/>
        <w:snapToGrid w:val="0"/>
        <w:spacing w:line="353" w:lineRule="auto"/>
        <w:ind w:firstLineChars="200" w:firstLine="640"/>
        <w:contextualSpacing/>
        <w:jc w:val="left"/>
        <w:rPr>
          <w:rFonts w:ascii="黑体" w:eastAsia="黑体" w:hint="eastAsia"/>
          <w:color w:val="000000"/>
          <w:kern w:val="0"/>
          <w:sz w:val="32"/>
          <w:szCs w:val="32"/>
        </w:rPr>
      </w:pPr>
      <w:r>
        <w:rPr>
          <w:rFonts w:ascii="黑体" w:eastAsia="黑体" w:hint="eastAsia"/>
          <w:color w:val="000000"/>
          <w:kern w:val="0"/>
          <w:sz w:val="32"/>
          <w:szCs w:val="32"/>
        </w:rPr>
        <w:t>二、困难宗教界人士生活补助费</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（一）项目概况</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1.项目基本情况。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（1）项目主管部门（单位）在该项目管理中的职能</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为解决我市宗教界人士的现实困难，体现党和政府对宗教界人士的关心关怀，团结、争取宗教界人士，有效维护我市宗教界的和谐稳定，对存在困难的宗教界人士发放生活补助。</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（2）项目立项、资金申报的依据</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根据中央、省相关文件精神和《中共攀枝花市委 攀枝花市人民政府关于切实加强和改进新形势下宗教工作的实施意见》中：“加强党委的领导，落实主体责任。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（3）资金管理办法制定情况，资金支持具体项目的条件、范围与支持方式概况。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根据《攀枝花市困难宗教界人士生活补助费管理使用办法》要求，结合我市每年宗教界生活存在困难人士情况，初步拟定补助方案，包含经费来源、经费预算、补助对象、补助金额等情况，提交委党组会审议，审议通过后印发具体补助方案，按照方案确定的补助对象及补助金额，发放补助费，确保补助费用发放到位。</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（4）资金分配的原则及考虑因素。</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全面贯彻党的宗教工作基本方针，巩固党同宗教界的爱国统一战线，结合我市每年宗教界生活存在困难人士情况，拟定补助方案，增强宗教界人士爱国热情，促进我市宗教领域的和谐稳定。</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2.项目绩效目标。</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（1）项目主要内容。</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通过对宗教界人士的关心和慰问，对各全市困难宗教界人士给予一定金额补助，维持我市宗教领域的长期和谐稳定，积极引导宗教与社会主义社会相适应。</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（2）项目应实现的具体绩效目标</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2021年预计补助我市宗教界生活困难人士40人次，人均补助标准为2500元/人，合计需10万元。在一定程度上缓解宗教界人士困难程度，凝聚广大宗教界人士爱国、爱党、爱教的同心力。</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（3）分析评价申报内容是否与实际相符，申报目标是否合理可行。</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项目分析评价均来源项目实际情况，与实际相符，目标合理可行。</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（二）项目资金申报及使用情况</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1.项目资金申报及批复情况。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年初预算申请10万元，2021年年初预算批复10万元。</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2.资金计划、到位及使用情况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（1）资金计划。项目计划2021年市本级拨付10万元，市级财政资金到位10万元。</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（2）资金到位。2021年年初预算下达项目资金10万元（其他民族事务支出2012399），资金到位率100%。</w:t>
      </w:r>
    </w:p>
    <w:p>
      <w:pPr>
        <w:widowControl/>
        <w:snapToGrid w:val="0"/>
        <w:spacing w:line="353" w:lineRule="auto"/>
        <w:ind w:firstLineChars="200" w:firstLine="640"/>
        <w:contextualSpacing/>
        <w:jc w:val="left"/>
        <w:rPr>
          <w:rFonts w:ascii="仿宋_GB2312" w:hAnsi="仿宋_GB2312" w:hint="eastAsia"/>
        </w:rPr>
      </w:pPr>
      <w:r>
        <w:rPr>
          <w:rFonts w:ascii="仿宋_GB2312" w:eastAsia="仿宋_GB2312" w:hint="eastAsia"/>
          <w:color w:val="333333"/>
          <w:sz w:val="32"/>
          <w:szCs w:val="32"/>
        </w:rPr>
        <w:t>（3）资金使用。2021年该笔项目资金实际补助我市宗教界生活困难人士43人次。比预算预计人次略高，大致与预算相符，主要是结合我市每年宗教界生活存在困难人士情况变化。全年预算执行率100%。</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3.项目财务管理情况。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单位财务管理制度健全，严格执行财务管理制度，账务处理及时，会计核算规范。</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（三）项目实施及管理情况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根据《攀枝花市困难宗教界人士生活补助费管理使用办法》要求，结合我市每年宗教界生活存在困难人士情况，初步拟定补助方案，包含经费来源、经费预算、补助对象、补助金额等情况，提交委党组会审议，审议通过后印发具体补助方案，按照方案确定的补助对象及补助金额，发放补助费，确保补助费用发放到位。</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（四）项目绩效情况</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1.项目完成情况。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2021年该笔项目资金实际补助我市宗教界生活困难人士43人次，合计10万元。</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2.项目效益情况。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在一定程度上缓解宗教界人士困难程度，凝聚广大宗教界人士爱国、爱党、爱教的同心力。</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（五）评价结论及建议</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widowControl/>
        <w:snapToGrid w:val="0"/>
        <w:spacing w:line="353" w:lineRule="auto"/>
        <w:ind w:firstLineChars="200" w:firstLine="640"/>
        <w:contextualSpacing/>
        <w:jc w:val="left"/>
        <w:rPr>
          <w:rFonts w:ascii="黑体" w:eastAsia="黑体" w:hint="eastAsia"/>
          <w:color w:val="000000"/>
          <w:kern w:val="0"/>
          <w:sz w:val="32"/>
          <w:szCs w:val="32"/>
        </w:rPr>
      </w:pPr>
      <w:r>
        <w:rPr>
          <w:rFonts w:ascii="黑体" w:eastAsia="黑体" w:hint="eastAsia"/>
          <w:color w:val="000000"/>
          <w:kern w:val="0"/>
          <w:sz w:val="32"/>
          <w:szCs w:val="32"/>
        </w:rPr>
        <w:t>三、宗教界人士慰问费</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（一）项目概况</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1.项目基本情况。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（1）项目主管部门（单位）在该项目管理中的职能</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为进一步团结宗教界人士，加强与宗教界人士间的沟通交流，对为我市宗教界的和谐稳定做出过积极贡献的宗教界人士进行慰问，让他们感受到党和政府的关怀，将他们团结在党和政府周围，带领全市信教公民共同维护我市宗教领域和谐稳定。</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（2）项目立项、资金申报的依据</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根据中央、省相关文件精神和《中共攀枝花市委 攀枝花市人民政府关于切实加强和改进新形势下宗教工作的实施意见》中：“加强党委的领导，落实主体责任。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（3）资金管理办法制定情况，资金支持具体项目的条件、范围与支持方式概况。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按照我市每年宗教界人士情况，初步拟定慰问方案，包含经费来源、经费预算、慰问对象、慰问金额等情况，提交委党组会审议，审议通过后印发具体慰问方案，按照方案确定的慰问对象及慰问金额，发放慰问费，确保慰问费用发放到位。</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（4）资金分配的原则及考虑因素。</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结合我市每年宗教界人士情况，拟定补助方案，增强宗教界人士爱国热情，促进我市宗教领域的和谐稳定。</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2.项目绩效目标。</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（1）项目主要内容。</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通过对全市宗教教职人员、信教骨干代表的关心和慰问，维持我市宗教领域的长期和谐稳定，积极引导宗教与社会主义社会相适应。</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（2）项目应实现的具体绩效目标</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2021年预计慰问40人左右，慰问标准为1500元/人，合计需3万元，由财政全额支持。全面贯彻党的宗教工作基本方针，巩固党同宗教界的爱国统一战线，增强宗教界人士爱国热情，促进我市宗教领域的和谐稳定。</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（3）分析评价申报内容是否与实际相符，申报目标是否合理可行。</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项目分析评价均来源项目实际情况，与实际相符，目标合理可行。</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（二）项目资金申报及使用情况</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1.项目资金申报及批复情况。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年初预算申请3万元，2021年年初预算批复3万元。</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2.资金计划、到位及使用情况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（1）资金计划。项目计划2021年市本级拨付3万元，市级财政资金到位3万元。</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（2）资金到位。2021年年初预算下达项目资金3万元（其他民族事务支出2012399），资金到位率100%。</w:t>
      </w:r>
    </w:p>
    <w:p>
      <w:pPr>
        <w:widowControl/>
        <w:snapToGrid w:val="0"/>
        <w:spacing w:line="353" w:lineRule="auto"/>
        <w:ind w:firstLineChars="200" w:firstLine="640"/>
        <w:contextualSpacing/>
        <w:jc w:val="left"/>
        <w:rPr>
          <w:rFonts w:ascii="仿宋_GB2312" w:hAnsi="仿宋_GB2312" w:hint="eastAsia"/>
        </w:rPr>
      </w:pPr>
      <w:r>
        <w:rPr>
          <w:rFonts w:ascii="仿宋_GB2312" w:eastAsia="仿宋_GB2312" w:hint="eastAsia"/>
          <w:color w:val="333333"/>
          <w:sz w:val="32"/>
          <w:szCs w:val="32"/>
        </w:rPr>
        <w:t>（3）资金使用。2021年该笔项目资金实际补助我市全市宗教教职人员、信教骨干代表63人次。比预算数据略高，大致与预算相符，主要是结合我市每年宗教界人士情况变化。全年预算执行率100%。</w:t>
      </w:r>
    </w:p>
    <w:p>
      <w:pPr>
        <w:spacing w:line="576" w:lineRule="exact"/>
        <w:ind w:firstLineChars="200" w:firstLine="640"/>
        <w:rPr>
          <w:rFonts w:ascii="仿宋_GB2312" w:hAnsi="仿宋_GB2312" w:hint="eastAsia"/>
          <w:b/>
          <w:kern w:val="0"/>
          <w:szCs w:val="32"/>
        </w:rPr>
      </w:pPr>
      <w:r>
        <w:rPr>
          <w:rFonts w:ascii="仿宋_GB2312" w:eastAsia="仿宋_GB2312" w:hint="eastAsia"/>
          <w:b/>
          <w:color w:val="333333"/>
          <w:sz w:val="32"/>
          <w:szCs w:val="32"/>
        </w:rPr>
        <w:t>3.项目财务管理情况。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单位财务管理制度健全，严格执行财务管理制度，账务处理及时，会计核算规范。</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（三）项目实施及管理情况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按照我市每年宗教界人士情况，初步拟定慰问方案，包含经费来源、经费预算、慰问对象、慰问金额等情况，提交委党组会审议，审议通过后印发具体慰问方案，按照方案确定的慰问对象及慰问金额，发放慰问费，确保慰问费用发放到位。</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（四）项目绩效情况</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1.项目完成情况。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2021年该笔项目资金实际补助我市全市宗教教职人员、信教骨干代表63人次，合计3万元。</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2.项目效益情况。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通过慰问全市宗教教职人员、信教骨干代表，凝聚广大宗教界人士爱国、爱党、爱教的同心力，维持我市宗教领域的长期和谐稳定。</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（五）评价结论及建议</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该项目评价结果较好，资金使用绩效显著，项目管理绩效突出，整体绩效水平有所提高，服务对象较为满意。今后将进一步加强项目开展进度的跟踪及监管，发挥资金的使用效益，提高预算完成率。</w:t>
      </w:r>
    </w:p>
    <w:p>
      <w:pPr>
        <w:widowControl/>
        <w:snapToGrid w:val="0"/>
        <w:spacing w:line="353" w:lineRule="auto"/>
        <w:ind w:firstLineChars="200" w:firstLine="640"/>
        <w:contextualSpacing/>
        <w:jc w:val="left"/>
        <w:rPr>
          <w:rFonts w:ascii="黑体" w:eastAsia="黑体" w:hint="eastAsia"/>
          <w:color w:val="000000"/>
          <w:kern w:val="0"/>
          <w:sz w:val="32"/>
          <w:szCs w:val="32"/>
        </w:rPr>
      </w:pPr>
      <w:r>
        <w:rPr>
          <w:rFonts w:ascii="黑体" w:eastAsia="黑体" w:hint="eastAsia"/>
          <w:color w:val="000000"/>
          <w:kern w:val="0"/>
          <w:sz w:val="32"/>
          <w:szCs w:val="32"/>
        </w:rPr>
        <w:t>四、宗教工作专项经费</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（一）项目概况</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1.项目基本情况。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（1）项目主管部门（单位）在该项目管理中的职能</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规范我市宗教工作管理，加强宗教界人士教育培训，宗教工作干部外出参加学习、培训、考察、会议、对接工作等费用，召开宗教工作相关会议等。</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（2）项目立项、资金申报的依据</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根据中央、省相关文件精神和《中共攀枝花市委 攀枝花市人民政府关于切实加强和改进新形势下宗教工作的实施意见》中：“加强党委的领导，落实主体责任。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widowControl/>
        <w:spacing w:line="576" w:lineRule="exact"/>
        <w:ind w:firstLineChars="200" w:firstLine="640"/>
        <w:jc w:val="left"/>
        <w:rPr>
          <w:rFonts w:ascii="仿宋_GB2312" w:hAnsi="仿宋_GB2312" w:hint="eastAsia"/>
          <w:color w:val="000000"/>
          <w:kern w:val="0"/>
          <w:szCs w:val="32"/>
        </w:rPr>
      </w:pPr>
      <w:r>
        <w:rPr>
          <w:rFonts w:ascii="仿宋_GB2312" w:eastAsia="仿宋_GB2312" w:hint="eastAsia"/>
          <w:color w:val="333333"/>
          <w:sz w:val="32"/>
          <w:szCs w:val="32"/>
        </w:rPr>
        <w:t>（3）资金管理办法制定情况，资金支持具体项目的条件、范围与支持方式概况。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按照年度工作要点、工作计划，有序推进我市宗教工作落地，实时对经费使用情况进行监督管理，确保工作经费落到实处，取得实效。</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（4）资金分配的原则及考虑因素。</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按照年度工作要点、工作计划，有序推进我市宗教工作落地，进一步提升我市宗教界人士综合素质，推进宗教团体、宗教活动场所规范化管理水平，提升宗教团体和宗教活动场所加强自身建设，积极引导宗教与社会主义社会相适应，维持我市宗教界长期和谐稳定。</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2.项目绩效目标。</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（1）项目主要内容。</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通过对宗教界人士开展法律法规、财务管理、安全等方面培训，为进一步提升我市宗教界人士综合素质，推进宗教团体、宗教活动场所规范化管理水平，提升宗教团体和宗教活动场所加强自身建设，积极引导宗教与社会主义社会相适应。</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（2）项目应实现的具体绩效目标</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开展宗教界人士培训费用5万元，宗教工作干部外出参加学习、培训、考察、会议、对接工作等费用4万元，召开宗教工作会议等费用1万元，合计10万元。进一步提升我市宗教界人士综合素质，推进宗教团体、宗教活动场所规范化管理水平，提升宗教团体和宗教活动场所加强自身建设，积极引导宗教与社会主义社会相适应。</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（3）分析评价申报内容是否与实际相符，申报目标是否合理可行。</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项目分析评价均来源项目实际情况，与实际相符，目标合理可行。</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（二）项目资金申报及使用情况</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1.项目资金申报及批复情况。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年初预算申请10万元，2021年年初预算批复10万元。</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2.资金计划、到位及使用情况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（1）资金计划。项目计划2021年市本级拨付10万元，市级财政资金年初到位10万元。</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（2）资金到位。2021年年初预算下达项目资金10万元（其他民族事务支出2012399），年初资金到位率100%。</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3）资金使用。2021年该笔项目资金实际开展宗教界人士培训1次共计1万元，宗教工作干部外出参加学习、培训、考察、会议、对接工作等4.8万元，召开宗教工作会议7次共计1.2万元，合计6.96万元。分项数据与预算计划略有出入，主要是结合工作具体情况安排，大致与预算相符，然由于年底财政紧张，部分项目未能及时拨付。全年预算执行率为70%。</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3.项目财务管理情况。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单位财务管理制度健全，严格执行财务管理制度，账务处理及时，会计核算规范。</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（三）项目实施及管理情况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按照年度工作要点、工作计划，有序推进我市宗教工作落地，实时对经费使用情况进行监督管理，确保工作经费落到实处，取得实效。</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（四）项目绩效情况</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1.项目完成情况。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2021年该笔项目资金实际开展宗教界人士培训1次共计1万元，宗教工作干部外出参加学习、培训、考察、会议、对接工作等4.8万元，召开宗教工作会议7次共计1.2万元，合计6.96万元。</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2.项目效益情况。</w:t>
      </w:r>
    </w:p>
    <w:p>
      <w:pPr>
        <w:spacing w:line="576" w:lineRule="exact"/>
        <w:ind w:firstLineChars="200" w:firstLine="640"/>
        <w:rPr>
          <w:rFonts w:ascii="仿宋_GB2312" w:hAnsi="仿宋_GB2312" w:hint="eastAsia"/>
        </w:rPr>
      </w:pPr>
      <w:r>
        <w:rPr>
          <w:rFonts w:ascii="仿宋_GB2312" w:eastAsia="仿宋_GB2312" w:hint="eastAsia"/>
          <w:color w:val="333333"/>
          <w:sz w:val="32"/>
          <w:szCs w:val="32"/>
        </w:rPr>
        <w:t>为进一步提升了我市宗教界人士综合素质，推进宗教团体、宗教活动场所规范化管理水平，提升宗教团体和宗教活动场所加强自身建设，积极引导宗教与社会主义社会相适应。</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（五）评价结论及建议</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widowControl/>
        <w:snapToGrid w:val="0"/>
        <w:spacing w:line="353" w:lineRule="auto"/>
        <w:ind w:firstLineChars="200" w:firstLine="640"/>
        <w:contextualSpacing/>
        <w:jc w:val="left"/>
        <w:rPr>
          <w:rFonts w:ascii="黑体" w:eastAsia="黑体" w:hint="eastAsia"/>
          <w:color w:val="000000"/>
          <w:kern w:val="0"/>
          <w:sz w:val="32"/>
          <w:szCs w:val="32"/>
        </w:rPr>
      </w:pPr>
      <w:r>
        <w:rPr>
          <w:rFonts w:ascii="黑体" w:eastAsia="黑体" w:hint="eastAsia"/>
          <w:color w:val="000000"/>
          <w:kern w:val="0"/>
          <w:sz w:val="32"/>
          <w:szCs w:val="32"/>
        </w:rPr>
        <w:t>五、关工委工作经费</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（一）项目概况</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1.项目基本情况。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（1）项目主管部门（单位）在该项目管理中的职能</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开展阅读赠书活动，加强职工子女学习和思想状况关心关爱，带动宗教界开展边远民族地区青少年扶助活动。</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（2）项目立项、资金申报的依据</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根据关工委对2021年全市工作安排，对我委安排了1.2万元的相关工作经费，用于关心关爱青少年，以及“五老”相关经费支出等，该项目具有现实需求。</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（3）资金管理办法制定情况，资金支持具体项目的条件、范围与支持方式概况。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按照年度工作要点、工作计划，有序推进我委关心下一代工作，实时对经费使用情况进行监督管理，确保工作经费落到实处，取得实效。</w:t>
      </w:r>
    </w:p>
    <w:p>
      <w:pPr>
        <w:widowControl/>
        <w:snapToGrid w:val="0"/>
        <w:spacing w:line="353" w:lineRule="auto"/>
        <w:ind w:firstLineChars="200" w:firstLine="640"/>
        <w:contextualSpacing/>
        <w:jc w:val="left"/>
        <w:rPr>
          <w:rFonts w:ascii="仿宋_GB2312" w:hAnsi="仿宋_GB2312" w:hint="eastAsia"/>
        </w:rPr>
      </w:pPr>
      <w:r>
        <w:rPr>
          <w:rFonts w:ascii="仿宋_GB2312" w:eastAsia="仿宋_GB2312" w:hint="eastAsia"/>
          <w:color w:val="333333"/>
          <w:sz w:val="32"/>
          <w:szCs w:val="32"/>
        </w:rPr>
        <w:t>（4）资金分配的原则及考虑因素</w:t>
      </w:r>
      <w:r>
        <w:rPr>
          <w:rFonts w:ascii="仿宋_GB2312" w:hAnsi="仿宋_GB2312" w:hint="eastAsia"/>
        </w:rPr>
        <w:t>。</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按照年度工作要点、工作计划，有序推进我委关心下一代工作落地，进一步提升带动边远民族地区青少年爱读书、勤学习的好习惯，积极营造良好社会氛围，不断增强青少年民族自豪感。</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2.项目绩效目标。</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（1）项目主要内容。</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通过开展阅读赠书活动，加强职工子女学习和思想状况关心关爱，带动宗教界开展边远民族地区青少年扶助活动，进一步提升边远民族地区青少年爱读书、勤学习的好习惯，积极营造良好社会氛围，不断增强青少年民族自豪感。</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（2）项目应实现的具体绩效目标</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向机关在职职工18岁及以下子女26人捐赠书籍，向谜塘村贫困户、边缘户18岁以下青少年82人捐赠书籍，合计1.2万元。积极营造良好社会氛围，不断增强青少年民族自豪感。</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（3）分析评价申报内容是否与实际相符，申报目标是否合理可行。</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项目分析评价均来源项目实际情况，与实际相符，目标合理可行。</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（二）项目资金申报及使用情况</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1.项目资金申报及批复情况。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2021年初预算未申请该笔资金预算，年初预算未批复该笔资金，年中追加预算批复1.2万元。</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2.资金计划、到位及使用情况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（1）资金计划。2021年初未申请该笔资金预算，年中计划市级财政资金追加预算到位1.2万元。</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（2）资金到位。2021年年中追加预算项目资金1.2万元（儿童福利2081001），资金到位率100%。</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（3）资金使用。向机关在职职工18岁及以下子女25人捐赠书籍0.25万元，民族地区中心学校捐赠过冬物资0.95万元，合计1.2万元。与预算相符。预算执行率100%。</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3.项目财务管理情况。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单位财务管理制度健全，严格执行财务管理制度，账务处理及时，会计核算规范。</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（三）项目实施及管理情况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按照年度工作要点、工作计划，有序推进我委关心下一代工作落地，实时对经费使用情况进行监督管理，确保工作经费落到实处，取得实效。</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（四）项目绩效情况</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1.项目完成情况。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2021年该笔项目资金用于向机关在职职工18岁及以下子女25人捐赠书籍0.25万元，民族地区中心学校捐赠过冬物资0.95万元，合计1.2万元。</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2.项目效益情况。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加强了职工子女学习和思想状况关心关爱，进一步提升了边远民族地区青少年爱读书、勤学习的好习惯，积极营造良好社会氛围，不断增强青少年民族自豪感。</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（五）评价结论及建议</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widowControl/>
        <w:snapToGrid w:val="0"/>
        <w:spacing w:line="353" w:lineRule="auto"/>
        <w:ind w:firstLineChars="200" w:firstLine="640"/>
        <w:contextualSpacing/>
        <w:jc w:val="left"/>
        <w:rPr>
          <w:rFonts w:ascii="黑体" w:eastAsia="黑体" w:hint="eastAsia"/>
          <w:color w:val="000000"/>
          <w:kern w:val="0"/>
          <w:sz w:val="32"/>
          <w:szCs w:val="32"/>
        </w:rPr>
      </w:pPr>
      <w:r>
        <w:rPr>
          <w:rFonts w:ascii="黑体" w:eastAsia="黑体" w:hint="eastAsia"/>
          <w:color w:val="000000"/>
          <w:kern w:val="0"/>
          <w:sz w:val="32"/>
          <w:szCs w:val="32"/>
        </w:rPr>
        <w:t>六、争取资金工作经费</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（一）项目概况</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1.项目基本情况。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（1）项目主管部门（单位）在该项目管理中的职能</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认真做好省、市民族资金项目调查、筛选、规划、申报，争取省级民族资金到位。</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（2）项目立项、资金申报的依据</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为认真做好省、市民族资金项目调查、筛选、规划、申报，争取省级民族资金到位，需相关资金支持，该项目具有现实需求。</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（3）资金管理办法制定情况，资金支持具体项目的条件、范围与支持方式概况。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按照年度工作要点、工作计划，有序推进我委争取上级资金工作，实时对经费使用情况进行监督管理，确保工作经费落到实处，取得实效。</w:t>
      </w:r>
    </w:p>
    <w:p>
      <w:pPr>
        <w:widowControl/>
        <w:spacing w:line="576" w:lineRule="exact"/>
        <w:ind w:firstLineChars="200" w:firstLine="640"/>
        <w:jc w:val="left"/>
        <w:rPr>
          <w:rFonts w:ascii="仿宋_GB2312" w:hAnsi="仿宋_GB2312" w:hint="eastAsia"/>
        </w:rPr>
      </w:pPr>
      <w:r>
        <w:rPr>
          <w:rFonts w:ascii="仿宋_GB2312" w:eastAsia="仿宋_GB2312" w:hint="eastAsia"/>
          <w:color w:val="333333"/>
          <w:sz w:val="32"/>
          <w:szCs w:val="32"/>
        </w:rPr>
        <w:t>（4）资金分配的原则及考虑因素。</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按照年度工作要点、工作计划，有序推进我委争取上级资金工作，围绕脱贫攻坚加快经济社会发展，落实民族地区支持政策，努力改善民族地区民生。</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2.项目绩效目标。</w:t>
      </w:r>
    </w:p>
    <w:p>
      <w:pPr>
        <w:autoSpaceDE w:val="0"/>
        <w:autoSpaceDN w:val="0"/>
        <w:adjustRightInd w:val="0"/>
        <w:spacing w:line="576" w:lineRule="exact"/>
        <w:ind w:firstLineChars="200" w:firstLine="640"/>
        <w:jc w:val="left"/>
        <w:rPr>
          <w:rFonts w:ascii="仿宋_GB2312" w:hAnsi="仿宋_GB2312" w:hint="eastAsia"/>
          <w:kern w:val="0"/>
          <w:szCs w:val="32"/>
        </w:rPr>
      </w:pPr>
      <w:r>
        <w:rPr>
          <w:rFonts w:ascii="仿宋_GB2312" w:eastAsia="仿宋_GB2312" w:hint="eastAsia"/>
          <w:color w:val="333333"/>
          <w:sz w:val="32"/>
          <w:szCs w:val="32"/>
        </w:rPr>
        <w:t>（1）项目主要内容。</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通过对省、市民族资金项目调查、筛选、规划、申报，争取上级资金到位，落实民族地区支持政策，努力改善民族地区民生。</w:t>
      </w:r>
    </w:p>
    <w:p>
      <w:pPr>
        <w:widowControl/>
        <w:spacing w:line="576" w:lineRule="exact"/>
        <w:ind w:firstLineChars="200" w:firstLine="640"/>
        <w:jc w:val="left"/>
        <w:rPr>
          <w:rFonts w:ascii="仿宋_GB2312" w:hAnsi="仿宋_GB2312" w:hint="eastAsia"/>
        </w:rPr>
      </w:pPr>
      <w:r>
        <w:rPr>
          <w:rFonts w:ascii="仿宋_GB2312" w:eastAsia="仿宋_GB2312" w:hint="eastAsia"/>
          <w:color w:val="333333"/>
          <w:sz w:val="32"/>
          <w:szCs w:val="32"/>
        </w:rPr>
        <w:t>（2）项目应实现的具体绩效目标</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为认真做好省、市民族资金项目调查、筛选、规划、申报，争取省级民族资金到位1300万左右，计划差旅费、办公费共计5万元。以加快我市民族地区经济社会发展，落实民族地区支持政策，努力改善民族地区民生。</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（3）分析评价申报内容是否与实际相符，申报目标是否合理可行。</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项目分析评价均来源项目实际情况，与实际相符，目标合理可行。</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（二）项目资金申报及使用情况</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1.项目资金申报及批复情况。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2021年初预算未申请该笔资金预算，年初预算未批复该笔资金，年中追加预算批复5万元。</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2.资金计划、到位及使用情况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（1）资金计划。2021年初未申请该笔资金预算，年中计划市级财政资金追加预算到位5万元。</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（2）资金到位。2021年年中追加预算项目资金5万元（土地开发支出2120802），资金到位率100%。</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（3）资金使用。为认真做好省、市民族资金项目调查、筛选、规划、申报，争取省级民族资金到位2283万元，使用差旅费、办公费共计5万元。与预算相符。预算执行率100%。</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3.项目财务管理情况。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单位财务管理制度健全，严格执行财务管理制度，账务处理及时，会计核算规范。</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（三）项目实施及管理情况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按照年度工作要点、工作计划，有序推进我委争取上级资金工作，实时对经费使用情况进行监督管理，确保工作经费落到实处，取得实效。</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（四）项目绩效情况</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1.项目完成情况。</w:t>
      </w:r>
    </w:p>
    <w:p>
      <w:pPr>
        <w:spacing w:line="576" w:lineRule="exact"/>
        <w:ind w:firstLineChars="200" w:firstLine="640"/>
        <w:rPr>
          <w:rFonts w:ascii="仿宋_GB2312" w:hAnsi="仿宋_GB2312" w:hint="eastAsia"/>
          <w:kern w:val="0"/>
          <w:szCs w:val="32"/>
        </w:rPr>
      </w:pPr>
      <w:r>
        <w:rPr>
          <w:rFonts w:ascii="仿宋_GB2312" w:eastAsia="仿宋_GB2312" w:hint="eastAsia"/>
          <w:color w:val="333333"/>
          <w:sz w:val="32"/>
          <w:szCs w:val="32"/>
        </w:rPr>
        <w:t>为认真做好省、市民族资金项目调查、筛选、规划、申报，争取省级民族资金到位2283万元，使用差旅费、办公费共计5万元。</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2.项目效益情况。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进一步加快了我市民族地区经济社会发展，落实民族地区支持政策，改善民族地区民生。</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（五）评价结论及建议</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widowControl/>
        <w:snapToGrid w:val="0"/>
        <w:spacing w:line="353" w:lineRule="auto"/>
        <w:ind w:firstLineChars="200" w:firstLine="640"/>
        <w:contextualSpacing/>
        <w:jc w:val="left"/>
        <w:rPr>
          <w:rFonts w:ascii="黑体" w:eastAsia="黑体" w:hint="eastAsia"/>
          <w:color w:val="000000"/>
          <w:kern w:val="0"/>
          <w:sz w:val="32"/>
          <w:szCs w:val="32"/>
        </w:rPr>
      </w:pPr>
      <w:r>
        <w:rPr>
          <w:rFonts w:ascii="黑体" w:eastAsia="黑体" w:hint="eastAsia"/>
          <w:color w:val="000000"/>
          <w:kern w:val="0"/>
          <w:sz w:val="32"/>
          <w:szCs w:val="32"/>
        </w:rPr>
        <w:t>七、市级少数民族发展资金</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（一）项目概况</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1.项目基本情况。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（1）项目主管部门（单位）在该项目管理中的职能</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维护民族宗教领域和谐稳定、提升民族宗教干部业务能力、少数民族群众自我发展能力，推进攀枝花市民族团结进步事业。</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（2）项目立项、资金申报的依据</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根据（攀财资农〔2021〕42号），结合市委、市政府对民族工作的总体要求和2021年民族工作重点，为维护我市民族宗教领域和谐稳定、提升民族宗教干部业务能力、少数民族群众自我发展能力，推进攀枝花市民族团结进步事业。</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（3）资金管理办法制定情况，资金支持具体项目的条件、范围与支持方式概况。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按照年度工作要点、工作计划，有序推进我委少数民族发展工作，具体分为五项：一是困难群众应急补助及慰问；民族宗教风险防范及矛盾调处，城市社区民族工作试点经费。二是少数民族重大节日补助经费。三是民族地区实用技术、劳动技能培训；民族宗教工作培训和民宗干部学校运行经费。四是两资项目管理、培训相关经费。五是民族团结进步创建经费。实时对经费使用情况进行监督管理，确保工作经费落到实处，取得实效。</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（4）资金分配的原则及考虑因素。</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按照（攀财资农〔2021〕42号），结合市委、市政府对民族工作的总体要求和2021年民族工作重点，维护民族宗教领域和谐稳定、提升民族宗教干部业务能力、少数民族群众自我发展能力，推进攀枝花市民族团结进步事业。</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2.项目绩效目标。</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（1）项目主要内容。</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根据（攀财资农〔2021〕42号），结合市委、市政府对民族工作的总体要求和2021年民族工作重点，主要分为：1.民族地区、城市社区特殊困难群众应急补助、慰问费，民族宗教领域风险防范及矛盾调处，城市社区民族工作创新试点等经费；2.民族地区实用技术、劳动技能培训，民族宗教工作培训和民族宗教干部学校运行经费；3.两资项目管理、培训费；4.民族团结进步创建经费；5.市民族宗教委电子政务内网机房建设项目经费。</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（2）项目应实现的具体绩效目标</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一是开展民族地区、城市社区特殊困难群众应急补助及春节慰问40余人次；开展民族宗教领域风险防范排查及民族工作“十四五”规划编制，民族宗教领域矛盾纠纷调处，民族地区禁毒防艾；市级城市社区民族工作创新试点，城市少数民族流动人口服务管理、民族宗教工作宣传等经费20万元。二是开展民族地区重要产业和特色产业科技实用技术培训；组建科技成果转化专家创新团队示范基地；开展民宗系统干部和乡（镇）、村（社区）民族宗教工作干部培训80人次；民宗干部学校运行保障经费，临聘人员劳务费、保险费等43.5万元。三是资金用于两资项目公示、两资宣传、两资管理业务工作会议、项目绩效考评、项目指导调研、档案数字化、项目管理培训等5万元。四是举办一期全市民族团结进步创建工作培训班50人左右；开展民族团结进步创建工作和命名第四批全市民族团结进步示范单位等相关工作经费12万元。五是按照市电子政务内网建设相关要求和标准，实施电子政务内网机房建设、配备安装机房设备设施16.5万元。以加快我市民族地区经济社会发展，提升民族宗教干部业务能力、少数民族群众自我发展能力，推进攀枝花市民族团结进步事业。</w:t>
      </w:r>
    </w:p>
    <w:p>
      <w:pPr>
        <w:spacing w:line="576" w:lineRule="exact"/>
        <w:ind w:firstLineChars="200" w:firstLine="640"/>
        <w:rPr>
          <w:rFonts w:ascii="仿宋_GB2312" w:hAnsi="仿宋_GB2312" w:hint="eastAsia"/>
        </w:rPr>
      </w:pPr>
      <w:r>
        <w:rPr>
          <w:rFonts w:ascii="仿宋_GB2312" w:eastAsia="仿宋_GB2312" w:hint="eastAsia"/>
          <w:color w:val="333333"/>
          <w:sz w:val="32"/>
          <w:szCs w:val="32"/>
        </w:rPr>
        <w:t>（3）分析评价申报内容是否与实际相符，申报目标是否合理可行。</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项目分析评价均来源项目实际情况，与实际相符，目标合理可行。</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（二）项目资金申报及使用情况</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1.项目资金申报及批复情况。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2021年初预算未申请该笔资金预算，年初预算未批复该笔资金，年中根据市财政、市两资办审核通过下发的（攀财资农〔2021〕42号）追加预算103万元，后通过调减指标划拨至其他单位6万元。</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2.资金计划、到位及使用情况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（1）资金计划。2021年初未申请该笔资金预算，年中计划市级财政资金追加预算到位103万元，后调减指标划拨至其他单位6万元。</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（2）资金到位。2021年年中追加预算市本级资金97万元（其他农林水支出2139999），资金到位率100%。</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（3）资金使用。</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一是民族地区、城市社区特殊困难群众应急补助、慰问费；民族宗教领域风险防范及矛盾调处；城市社区民族工作创新试点等经费8.728万元。主要用于慰问谜塘村困难户24户，开展民族地区禁毒防艾、森林防火宣传，开展城市社区民族工作试点等经费支出。</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二是民族地区实用技术、劳动技能培训；民族宗教工作培训和民族宗教干部学校运行经费43.5万元。主要用于开展民族地区实用技术培训和乡村振兴驻村第一书记培训、民族宗教干部培训2000人次；建立科技成果转换专家创新团队示范基地2个；民宗干部学校运行保障等经费支出。</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三是两资项目管理、培训相关经费3.36万元。主要用于完成项目公示、宣传、会议、绩效考评、调研、培训等6余次，进行两资档案数字化等项目经费开支。</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四是民族团结进步创建经费11.64万元。主要用于铸牢中华民族共同体意识培训55人；开展全市民族团结进步示范单位评审工作等。</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五是市民族宗教委电子政务内网机房建设项目16.5万元。主要用于电子政务内网建设，包括电子政务内网机房建设、配备安装机房设备设施。</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分项数据与预算计划一致，主要是结合工作具体情况安排，然由于年底财政紧张，部分项目未能及时拨付。全年预算执行率为86%。</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3.项目财务管理情况。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单位财务管理制度健全，严格执行财务管理制度，账务处理及时，会计核算规范。</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（三）项目实施及管理情况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按照年度工作要点、工作计划，结合市委、市政府对民族工作的总体要求和2021年民族工作重点，有序推进我委少数民族发展工作，推进攀枝花市民族团结进步事业。实时对经费使用情况进行监督管理，确保工作经费落到实处，取得实效。</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 xml:space="preserve">（四）项目绩效情况 </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1.项目完成情况。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慰问谜塘村困难户24户，开展民族地区禁毒防艾、森林防火宣传，开展城市社区民族工作试点等经费支出8.728万元；开展民族地区实用技术培训和乡村振兴驻村第一书记培训、民族宗教干部培训2000人次，建立科技成果转换专家创新团队示范基地2个，民宗干部学校运行保障等经费支出43.5万元；完成项目公示、宣传、会议、绩效考评、调研、培训等6余次，进行两资档案数字化等项目经费开支3.36万元；铸牢中华民族共同体意识培训55人，开展全市民族团结进步示范单位评审工作等11.64万元；电子政务内网建设，包括电子政务内网机房建设、配备安装机房设备设施16.5万元。按照年度工作要点、工作计划，结合市委、市政府对民族工作的总体要求和2021年民族工作重点，基本完成了2021年市级少数民族发展金年初的绩效目标，只有部分项目然由于年底财政紧张，未能及时拨付。</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2.项目效益情况。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进一步维护了我市民族宗教领域和谐稳定、提升民族宗教干部业务能力、少数民族群众自我发展能力，推进攀枝花市民族团结进步事业。</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（五）评价结论及建议</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widowControl/>
        <w:snapToGrid w:val="0"/>
        <w:spacing w:line="353" w:lineRule="auto"/>
        <w:ind w:firstLineChars="200" w:firstLine="640"/>
        <w:contextualSpacing/>
        <w:jc w:val="left"/>
        <w:rPr>
          <w:rFonts w:ascii="黑体" w:eastAsia="黑体" w:hint="eastAsia"/>
          <w:color w:val="000000"/>
          <w:kern w:val="0"/>
          <w:sz w:val="32"/>
          <w:szCs w:val="32"/>
        </w:rPr>
      </w:pPr>
      <w:r>
        <w:rPr>
          <w:rFonts w:ascii="黑体" w:eastAsia="黑体" w:hint="eastAsia"/>
          <w:color w:val="000000"/>
          <w:kern w:val="0"/>
          <w:sz w:val="32"/>
          <w:szCs w:val="32"/>
        </w:rPr>
        <w:t>八、挂职干部补助经费</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（一）项目概况</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1.项目基本情况。</w:t>
      </w:r>
    </w:p>
    <w:p>
      <w:pPr>
        <w:widowControl/>
        <w:spacing w:line="576" w:lineRule="exact"/>
        <w:ind w:firstLineChars="200" w:firstLine="640"/>
        <w:jc w:val="left"/>
        <w:rPr>
          <w:rFonts w:ascii="仿宋_GB2312" w:hAnsi="仿宋_GB2312" w:hint="eastAsia"/>
          <w:b/>
          <w:color w:val="333333"/>
          <w:szCs w:val="32"/>
        </w:rPr>
      </w:pPr>
      <w:r>
        <w:rPr>
          <w:rFonts w:ascii="仿宋_GB2312" w:eastAsia="仿宋_GB2312" w:hint="eastAsia"/>
          <w:color w:val="333333"/>
          <w:sz w:val="32"/>
          <w:szCs w:val="32"/>
        </w:rPr>
        <w:t>（1）项目主管部门（单位）在该项目管理中的职能</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做好第一书记、驻村挂职干部补助，完成2021年干部人才补助。</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（2）项目立项、资金申报的依据</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根据（攀驻村办〔2017〕5号）、（攀组函〔2021〕68号），做好驻村挂职干部补助，完成2021年干部人才补助。</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（3）资金管理办法制定情况，资金支持具体项目的条件、范围与支持方式概况。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根据（攀驻村办〔2017〕5号）、（攀组函〔2021〕68号）、（攀财资行〔2021〕105号），按时发放驻村挂职干部补助。实时对经费使用情况进行监督管理，确保工作经费落到实处，取得实效。</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（4）资金分配的原则及考虑因素。</w:t>
      </w:r>
    </w:p>
    <w:p>
      <w:pPr>
        <w:autoSpaceDE w:val="0"/>
        <w:autoSpaceDN w:val="0"/>
        <w:adjustRightInd w:val="0"/>
        <w:spacing w:line="576" w:lineRule="exact"/>
        <w:ind w:firstLineChars="200" w:firstLine="640"/>
        <w:jc w:val="left"/>
        <w:rPr>
          <w:rFonts w:ascii="仿宋_GB2312" w:hAnsi="仿宋_GB2312" w:hint="eastAsia"/>
        </w:rPr>
      </w:pPr>
      <w:r>
        <w:rPr>
          <w:rFonts w:ascii="仿宋_GB2312" w:eastAsia="仿宋_GB2312" w:hint="eastAsia"/>
          <w:color w:val="333333"/>
          <w:sz w:val="32"/>
          <w:szCs w:val="32"/>
        </w:rPr>
        <w:t>根据（攀财资行〔2021〕105号）、（攀组函〔2021〕68号），进一步加强挂职干部管理服务工作，充分发挥干部人才在社会发展中的重要作用。</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2.项目绩效目标。</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（1）项目主要内容。</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做好驻村挂职干部补助，完成2021年干部人才补助。</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（2）项目应实现的具体绩效目标</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驻村挂职干部1人生活补助1.245万元，进一步加强挂职干部管理服务工作，充分发挥干部人才在社会发展中的重要作用。</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（3）分析评价申报内容是否与实际相符，申报目标是否合理可行。</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项目分析评价均来源项目实际情况，与实际相符，目标合理可行。</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（二）项目资金申报及使用情况</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1.项目资金申报及批复情况。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2021年初预算未申请该笔资金预算，年初预算未批复该笔资金，年中根据市财政、市组织部核查，追加了挂职补助1.245万元（攀财资行〔2021〕105号）。</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2.资金计划、到位及使用情况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（1）资金计划。2021年初未申请该笔资金预算，年中计划市级财政资金追加预算到位1.245万元。</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（2）资金到位。2021年年中追加预算市本级资金1.245万元（其他组织事务支出2013299），资金到位率100%。</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（3）资金使用。补助驻村挂职干部1人1.245万元。与预算相符。全年预算执行率100%。</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3.项目财务管理情况。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单位财务管理制度健全，严格执行财务管理制度，账务处理及时，会计核算规范。</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（三）项目实施及管理情况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根据（攀驻村办〔2017〕5号），按时发放驻村挂职干部补助。实时对经费使用情况进行监督管理，确保工作经费落到实处，取得实效。</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 xml:space="preserve">（四）项目绩效情况 </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1.项目完成情况。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做好驻村挂职干部补助，完成2021年干部人才补助1.245万元。</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2.项目效益情况。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进一步加强挂职干部管理服务工作，充分发挥干部人才在社会发展中的重要作用。</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（五）评价结论及建议</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widowControl/>
        <w:snapToGrid w:val="0"/>
        <w:spacing w:line="353" w:lineRule="auto"/>
        <w:ind w:firstLineChars="200" w:firstLine="640"/>
        <w:contextualSpacing/>
        <w:jc w:val="left"/>
        <w:rPr>
          <w:rFonts w:ascii="黑体" w:eastAsia="黑体" w:hint="eastAsia"/>
          <w:color w:val="000000"/>
          <w:kern w:val="0"/>
          <w:sz w:val="32"/>
          <w:szCs w:val="32"/>
        </w:rPr>
      </w:pPr>
      <w:r>
        <w:rPr>
          <w:rFonts w:ascii="黑体" w:eastAsia="黑体" w:hint="eastAsia"/>
          <w:color w:val="000000"/>
          <w:kern w:val="0"/>
          <w:sz w:val="32"/>
          <w:szCs w:val="32"/>
        </w:rPr>
        <w:t>九、业务运行费</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（一）项目概况</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1.项目基本情况。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（1）项目主管部门（单位）在该项目管理中的职能</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保障委机关及下属事业单位正常运转，确保民族宗教各项事务顺利开展。</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（2）项目立项、资金申报的依据</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为保障委机关及下属事业单位正常运转，确保民族宗教各项事务顺利开展，促进民族、宗教事业发展，有申请该资金的需求。该项目具有现实需求。</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（3）资金管理办法制定情况，资金支持具体项目的条件、范围与支持方式概况。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按照年度工作要点、工作计划，有序推进我市民族宗教各项事务开展，保障委机关及下属事业单位正常运转。实时对经费使用情况进行监督管理，确保工作经费落到实处，取得实效。</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（4）资金分配的原则及考虑因素。</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按照年度工作要点、工作计划，结合市委、市政府对民族工作的总体要求和2021年民族工作重点，有序推进我市民族宗教各项事务开展。</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2.项目绩效目标。</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（1）项目主要内容。</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保障委机关及下属事业单位正常运转，确保民族宗教各项事务顺利开展。</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（2）项目应实现的具体绩效目标</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召开业务会议费用1万元，资料整理费及办公费2万元，业务人员相关培训、学习等费用2万元，合计5万元。有序推进我市民族宗教各项事务开展，进一步提升我市民族宗教人士及民族宗教工作干部的自身素质和工作能力，促进民族、宗教事业发展。</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（3）分析评价申报内容是否与实际相符，申报目标是否合理可行。</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项目分析评价均来源项目实际情况，与实际相符，目标合理可行。</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（二）项目资金申报及使用情况</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1.项目资金申报及批复情况。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年初预算申请5万元，2021年年初预算批复5万元。</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2.资金计划、到位及使用情况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（1）资金计划。项目计划2021年市本级拨付5万元，市级财政资金年初到位5万元。</w:t>
      </w:r>
    </w:p>
    <w:p>
      <w:pPr>
        <w:widowControl/>
        <w:snapToGrid w:val="0"/>
        <w:spacing w:line="353" w:lineRule="auto"/>
        <w:ind w:firstLineChars="200" w:firstLine="640"/>
        <w:contextualSpacing/>
        <w:jc w:val="left"/>
        <w:rPr>
          <w:rFonts w:ascii="仿宋_GB2312" w:hAnsi="仿宋_GB2312" w:hint="eastAsia"/>
          <w:kern w:val="0"/>
          <w:szCs w:val="32"/>
        </w:rPr>
      </w:pPr>
      <w:r>
        <w:rPr>
          <w:rFonts w:ascii="仿宋_GB2312" w:eastAsia="仿宋_GB2312" w:hint="eastAsia"/>
          <w:color w:val="333333"/>
          <w:sz w:val="32"/>
          <w:szCs w:val="32"/>
        </w:rPr>
        <w:t>（2）资金到位。2021年年初预算下达项目资金5万元（其他民族事务支出2012399），年初资金到位率100%。</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3）资金使用。2021年该笔项目资金实际用于开展会议、培训等共计0.2万元，职工干部外出参加学习、培训、会议等1.7万元，资料整理费及办公费3.1万元，合计5万元。分项数据与预算计划略有出入，主要是结合工作具体情况安排，大致与预算相符。全年预算执行率为100%。</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3.项目财务管理情况。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单位财务管理制度健全，严格执行财务管理制度，账务处理及时，会计核算规范。</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（三）项目实施及管理情况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按照年度工作要点、工作计划，结合市委、市政府对民族工作的总体要求和2021年民族工作重点，有序推进我市民族宗教各项事务开展。实时对经费使用情况进行监督管理，确保工作经费落到实处，取得实效。</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（四）项目绩效情况</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1.项目完成情况。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2021年该笔项目资金实际开展2021年该笔项目资金实际用于开展会议、培训等共计0.2万元，职工干部外出参加学习、培训、会议等1.7万元，资料整理费及办公费3.1万元，合计5万元。</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2.项目效益情况。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有序推进我市民族宗教各项事务开展，进一步提升我市民族宗教人士及民族宗教工作干部的自身素质和工作能力，促进民族、宗教事业发展。</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（五）评价结论及建议</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widowControl/>
        <w:snapToGrid w:val="0"/>
        <w:spacing w:line="353" w:lineRule="auto"/>
        <w:ind w:firstLineChars="200" w:firstLine="640"/>
        <w:contextualSpacing/>
        <w:jc w:val="left"/>
        <w:rPr>
          <w:rFonts w:ascii="黑体" w:eastAsia="黑体" w:hint="eastAsia"/>
          <w:color w:val="000000"/>
          <w:kern w:val="0"/>
          <w:sz w:val="32"/>
          <w:szCs w:val="32"/>
        </w:rPr>
      </w:pPr>
      <w:r>
        <w:rPr>
          <w:rFonts w:ascii="黑体" w:eastAsia="黑体" w:hint="eastAsia"/>
          <w:color w:val="000000"/>
          <w:kern w:val="0"/>
          <w:sz w:val="32"/>
          <w:szCs w:val="32"/>
        </w:rPr>
        <w:t>十、省级民族地区开发资金（含上年结转）</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（一）项目概况</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1.项目基本情况。</w:t>
      </w:r>
    </w:p>
    <w:p>
      <w:pPr>
        <w:widowControl/>
        <w:spacing w:line="576" w:lineRule="exact"/>
        <w:ind w:firstLineChars="200" w:firstLine="420"/>
        <w:jc w:val="left"/>
        <w:rPr>
          <w:rFonts w:ascii="仿宋_GB2312" w:eastAsia="仿宋_GB2312" w:hint="eastAsia"/>
          <w:color w:val="333333"/>
          <w:sz w:val="32"/>
          <w:szCs w:val="32"/>
        </w:rPr>
      </w:pPr>
      <w:r>
        <w:rPr>
          <w:rFonts w:ascii="仿宋_GB2312" w:hAnsi="仿宋_GB2312" w:hint="eastAsia"/>
          <w:color w:val="333333"/>
          <w:szCs w:val="32"/>
        </w:rPr>
        <w:t>（</w:t>
      </w:r>
      <w:r>
        <w:rPr>
          <w:rFonts w:ascii="仿宋_GB2312" w:eastAsia="仿宋_GB2312" w:hint="eastAsia"/>
          <w:color w:val="333333"/>
          <w:sz w:val="32"/>
          <w:szCs w:val="32"/>
        </w:rPr>
        <w:t>1）项目主管部门（单位）在该项目管理中的职能</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做好两资项目公示、两资业务工作会议、项目管理培训、两资宣传活动等工作。</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（2）项目立项、资金申报的依据</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根据（川财预〔2021〕3号），做好两资项目公示、两资业务工作会议、项目管理培训、两资宣传活动等工作，实现两资项目经济社会效益最大化，提升两资管理人员业务能力。</w:t>
      </w:r>
    </w:p>
    <w:p>
      <w:pPr>
        <w:widowControl/>
        <w:spacing w:line="576" w:lineRule="exact"/>
        <w:ind w:firstLineChars="200" w:firstLine="640"/>
        <w:jc w:val="left"/>
        <w:rPr>
          <w:rFonts w:ascii="仿宋_GB2312" w:hAnsi="仿宋_GB2312" w:hint="eastAsia"/>
          <w:color w:val="000000"/>
          <w:kern w:val="0"/>
          <w:szCs w:val="32"/>
        </w:rPr>
      </w:pPr>
      <w:r>
        <w:rPr>
          <w:rFonts w:ascii="仿宋_GB2312" w:eastAsia="仿宋_GB2312" w:hint="eastAsia"/>
          <w:color w:val="333333"/>
          <w:sz w:val="32"/>
          <w:szCs w:val="32"/>
        </w:rPr>
        <w:t>（3）资金管理办法制定情况，资金支持具体项目的条件、范围与支持方式概况。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根据（川民开办〔2020〕7号）、（川财预〔2021〕3号），做好两资项目公示、两资业务工作会议、项目管理培训、两资宣传活动等工作。实时对经费使用情况进行监督管理，确保工作经费落到实处，取得实效。</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（4）资金分配的原则及考虑因素。</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根据（川民开办〔2020〕7号）、（川财预〔2021〕3号），并由市支援经济不发达地区发展资金管理小组办公室结合我市实际情况，按照年度工作要点、工作计划，有序推进我委少数民族发展工作。</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2.项目绩效目标。</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（1）项目主要内容。</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根据（川民开办〔2020〕7号）、（川财预〔2021〕3号），做好两资项目公示、两资业务工作会议、项目管理培训、两资宣传活动等工作，实现两资项目经济社会效益最大化，提升两资管理人员业务能力。</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（2）项目应实现的具体绩效目标</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开展项目规划编制，项目公示公告，两资项目调研、检查、绩效评价，两资工作总结宣传，两资管理人员培训学习等工作，确保两资项目管理规范化、科学化，实现两资项目社会效益最大化，提升两资管理人员业务能力。</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（3）分析评价申报内容是否与实际相符，申报目标是否合理可行。</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项目分析评价均来源项目实际情况，与实际相符，目标合理可行。</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（二）项目资金申报及使用情况</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1.项目资金申报及批复情况。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2021年初预算未申请该笔资金预算，年初预算未批复该笔资金，年中由市支援经济不发达地区发展资金管理小组办公室结合我市实际情况，追加分配了省级资金9万元（攀财资预〔2021〕6号）。</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2.资金计划、到位及使用情况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（1）资金计划。2021年初未申请该笔资金预算，年中计划市级财政资金追加预算到位9万元。</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（2）资金到位。2021年年中追加预算市本级资金9万元（其他民族事务支出2012399），资金到位率100%。</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3）资金使用。该笔资金主要用于开展两资管理业务培训、会议、调研、考评等7余次4.89万元；支付四十周年系列视频尾款1万元；开展两资管理资料印制等宣传工作2.5万元，合计8.39万元。分项数据与预算计划一致，主要是结合工作具体情况安排，然由于年底财政紧张，部分项目未能及时拨付。全年预算执行率为66%。</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3.项目财务管理情况。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单位财务管理制度健全，严格执行财务管理制度，账务处理及时，会计核算规范。</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（三）项目实施及管理情况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根据（川民开办〔2020〕7号）、（川财预〔2021〕3号），做好两资项目公示、两资业务工作会议、项目管理培训、两资宣传活动等工作，实现两资项目经济社会效益最大化，提升两资管理人员业务能力，并实时对经费使用情况进行监督管理，确保工作经费落到实处，取得实效。</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 xml:space="preserve">（四）项目绩效情况 </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1.项目完成情况。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该笔资金主要用于开展两资管理业务培训、会议、调研、考评等7余次4.89万元；支付四十周年系列视频尾款1万元；开展两资管理资料印制等宣传工作2.5万元，合计8.39万元。</w:t>
      </w:r>
    </w:p>
    <w:p>
      <w:pPr>
        <w:widowControl/>
        <w:snapToGrid w:val="0"/>
        <w:spacing w:line="353" w:lineRule="auto"/>
        <w:ind w:firstLineChars="200" w:firstLine="640"/>
        <w:contextualSpacing/>
        <w:jc w:val="left"/>
        <w:rPr>
          <w:rFonts w:ascii="仿宋_GB2312" w:eastAsia="仿宋_GB2312" w:hint="eastAsia"/>
          <w:b/>
          <w:color w:val="333333"/>
          <w:sz w:val="32"/>
          <w:szCs w:val="32"/>
        </w:rPr>
      </w:pPr>
      <w:r>
        <w:rPr>
          <w:rFonts w:ascii="仿宋_GB2312" w:eastAsia="仿宋_GB2312" w:hint="eastAsia"/>
          <w:b/>
          <w:color w:val="333333"/>
          <w:sz w:val="32"/>
          <w:szCs w:val="32"/>
        </w:rPr>
        <w:t>2.项目效益情况。</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开展两资业务工作会议、项目管理培训、两资宣传活动等工作，确保了两资项目管理规范化、科学化，实现两资项目社会效益最大化，提升两资管理人员业务能力。</w:t>
      </w:r>
    </w:p>
    <w:p>
      <w:pPr>
        <w:widowControl/>
        <w:snapToGrid w:val="0"/>
        <w:spacing w:line="353" w:lineRule="auto"/>
        <w:ind w:firstLineChars="200" w:firstLine="640"/>
        <w:contextualSpacing/>
        <w:jc w:val="left"/>
        <w:rPr>
          <w:rFonts w:ascii="楷体_GB2312" w:eastAsia="楷体_GB2312" w:hint="eastAsia"/>
          <w:b/>
          <w:color w:val="333333"/>
          <w:sz w:val="32"/>
          <w:szCs w:val="32"/>
        </w:rPr>
      </w:pPr>
      <w:r>
        <w:rPr>
          <w:rFonts w:ascii="楷体_GB2312" w:eastAsia="楷体_GB2312" w:hint="eastAsia"/>
          <w:b/>
          <w:color w:val="333333"/>
          <w:sz w:val="32"/>
          <w:szCs w:val="32"/>
        </w:rPr>
        <w:t>（五）评价结论及建议</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widowControl/>
        <w:spacing w:line="576" w:lineRule="exact"/>
        <w:ind w:firstLineChars="200" w:firstLine="420"/>
        <w:jc w:val="left"/>
        <w:rPr>
          <w:rFonts w:ascii="仿宋_GB2312" w:hAnsi="仿宋_GB2312" w:hint="eastAsia"/>
          <w:color w:val="333333"/>
          <w:szCs w:val="32"/>
        </w:rPr>
      </w:pPr>
    </w:p>
    <w:p>
      <w:pPr>
        <w:widowControl/>
        <w:spacing w:line="576" w:lineRule="exact"/>
        <w:ind w:firstLineChars="200" w:firstLine="640"/>
        <w:jc w:val="left"/>
        <w:rPr>
          <w:rFonts w:ascii="仿宋_GB2312" w:eastAsia="仿宋_GB2312" w:hint="eastAsia"/>
          <w:color w:val="333333"/>
          <w:sz w:val="32"/>
          <w:szCs w:val="32"/>
        </w:rPr>
      </w:pP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 xml:space="preserve">                     攀枝花市民宗宗教事务委员会</w:t>
      </w:r>
    </w:p>
    <w:p>
      <w:pPr>
        <w:widowControl/>
        <w:snapToGrid w:val="0"/>
        <w:spacing w:line="353" w:lineRule="auto"/>
        <w:ind w:firstLineChars="200" w:firstLine="640"/>
        <w:contextualSpacing/>
        <w:jc w:val="left"/>
        <w:rPr>
          <w:rFonts w:ascii="仿宋_GB2312" w:eastAsia="仿宋_GB2312" w:hint="eastAsia"/>
          <w:color w:val="333333"/>
          <w:sz w:val="32"/>
          <w:szCs w:val="32"/>
        </w:rPr>
      </w:pPr>
      <w:r>
        <w:rPr>
          <w:rFonts w:ascii="仿宋_GB2312" w:eastAsia="仿宋_GB2312" w:hint="eastAsia"/>
          <w:color w:val="333333"/>
          <w:sz w:val="32"/>
          <w:szCs w:val="32"/>
        </w:rPr>
        <w:t xml:space="preserve">                             2022年4月8日</w:t>
      </w: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tbl>
      <w:tblPr>
        <w:jc w:val="left"/>
        <w:tblInd w:w="-547" w:type="dxa"/>
        <w:tblW w:w="9900"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750"/>
        <w:gridCol w:w="867"/>
        <w:gridCol w:w="719"/>
        <w:gridCol w:w="1597"/>
        <w:gridCol w:w="1734"/>
        <w:gridCol w:w="1800"/>
        <w:gridCol w:w="1100"/>
        <w:gridCol w:w="1333"/>
      </w:tblGrid>
      <w:tr>
        <w:trPr>
          <w:trHeight w:val="240"/>
        </w:trPr>
        <w:tc>
          <w:tcPr>
            <w:tcW w:w="9900" w:type="dxa"/>
            <w:gridSpan w:val="8"/>
            <w:tcBorders>
              <w:top w:val="nil"/>
              <w:left w:val="nil"/>
              <w:bottom w:val="nil"/>
              <w:right w:val="nil"/>
            </w:tcBorders>
            <w:shd w:val="clear" w:color="auto" w:fill="auto"/>
            <w:noWrap/>
            <w:vAlign w:val="center"/>
          </w:tcPr>
          <w:p>
            <w:pPr>
              <w:pStyle w:val="2"/>
              <w:rPr>
                <w:rFonts w:ascii="宋体" w:eastAsia="宋体" w:cs="宋体" w:hint="eastAsia"/>
                <w:i w:val="0"/>
                <w:iCs w:val="0"/>
                <w:color w:val="000000"/>
                <w:szCs w:val="20"/>
                <w:u w:val="none"/>
              </w:rPr>
            </w:pPr>
            <w:bookmarkStart w:id="89" w:name="_Toc14363"/>
            <w:r>
              <w:rPr>
                <w:rFonts w:hint="eastAsia"/>
                <w:lang w:val="en-US" w:eastAsia="zh-CN"/>
              </w:rPr>
              <w:t>附件4</w:t>
            </w:r>
            <w:bookmarkEnd w:id="89"/>
          </w:p>
        </w:tc>
      </w:tr>
      <w:tr>
        <w:trPr>
          <w:trHeight w:val="675"/>
        </w:trPr>
        <w:tc>
          <w:tcPr>
            <w:tcW w:w="990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cs="宋体" w:hint="eastAsia"/>
                <w:b/>
                <w:bCs/>
                <w:i w:val="0"/>
                <w:iCs w:val="0"/>
                <w:color w:val="000000"/>
                <w:sz w:val="24"/>
                <w:szCs w:val="24"/>
                <w:u w:val="none"/>
              </w:rPr>
            </w:pPr>
            <w:r>
              <w:rPr>
                <w:rFonts w:ascii="黑体" w:eastAsia="黑体" w:cs="宋体" w:hint="eastAsia"/>
                <w:b/>
                <w:bCs w:val="0"/>
                <w:color w:val="000000"/>
                <w:kern w:val="0"/>
                <w:sz w:val="32"/>
                <w:szCs w:val="32"/>
                <w:lang w:val="en-US" w:eastAsia="zh-CN"/>
              </w:rPr>
              <w:t>专项（项目）资金绩效自评表</w:t>
            </w:r>
          </w:p>
        </w:tc>
      </w:tr>
      <w:tr>
        <w:trPr>
          <w:trHeight w:val="285"/>
        </w:trPr>
        <w:tc>
          <w:tcPr>
            <w:tcW w:w="990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r>
              <w:rPr>
                <w:rStyle w:val="35"/>
                <w:rFonts w:eastAsia="宋体"/>
                <w:lang w:val="en-US" w:eastAsia="zh-CN"/>
              </w:rPr>
              <w:t>2021</w:t>
            </w:r>
            <w:r>
              <w:rPr>
                <w:rStyle w:val="36"/>
                <w:lang w:val="en-US" w:eastAsia="zh-CN"/>
              </w:rPr>
              <w:t>年度）</w:t>
            </w:r>
          </w:p>
        </w:tc>
      </w:tr>
      <w:tr>
        <w:trPr>
          <w:trHeight w:val="435"/>
        </w:trPr>
        <w:tc>
          <w:tcPr>
            <w:tcW w:w="750" w:type="dxa"/>
            <w:tcBorders>
              <w:top w:val="nil"/>
              <w:left w:val="nil"/>
              <w:bottom w:val="single" w:sz="4" w:space="0" w:color="000000"/>
              <w:right w:val="nil"/>
            </w:tcBorders>
            <w:shd w:val="clear" w:color="auto" w:fill="auto"/>
            <w:noWrap/>
            <w:vAlign w:val="center"/>
          </w:tcPr>
          <w:p>
            <w:pPr>
              <w:rPr>
                <w:rFonts w:ascii="宋体" w:eastAsia="宋体" w:cs="宋体" w:hint="eastAsia"/>
                <w:i w:val="0"/>
                <w:iCs w:val="0"/>
                <w:color w:val="000000"/>
                <w:sz w:val="20"/>
                <w:szCs w:val="20"/>
                <w:u w:val="none"/>
              </w:rPr>
            </w:pPr>
          </w:p>
        </w:tc>
        <w:tc>
          <w:tcPr>
            <w:tcW w:w="867" w:type="dxa"/>
            <w:tcBorders>
              <w:top w:val="nil"/>
              <w:left w:val="nil"/>
              <w:bottom w:val="single" w:sz="4" w:space="0" w:color="000000"/>
              <w:right w:val="nil"/>
            </w:tcBorders>
            <w:shd w:val="clear" w:color="auto" w:fill="auto"/>
            <w:noWrap/>
            <w:vAlign w:val="center"/>
          </w:tcPr>
          <w:p>
            <w:pPr>
              <w:rPr>
                <w:rFonts w:ascii="宋体" w:eastAsia="宋体" w:cs="宋体" w:hint="eastAsia"/>
                <w:i w:val="0"/>
                <w:iCs w:val="0"/>
                <w:color w:val="000000"/>
                <w:sz w:val="20"/>
                <w:szCs w:val="20"/>
                <w:u w:val="none"/>
              </w:rPr>
            </w:pPr>
          </w:p>
        </w:tc>
        <w:tc>
          <w:tcPr>
            <w:tcW w:w="719"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0"/>
                <w:szCs w:val="20"/>
                <w:u w:val="none"/>
              </w:rPr>
            </w:pPr>
          </w:p>
        </w:tc>
        <w:tc>
          <w:tcPr>
            <w:tcW w:w="1597"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0"/>
                <w:szCs w:val="20"/>
                <w:u w:val="none"/>
              </w:rPr>
            </w:pPr>
          </w:p>
        </w:tc>
        <w:tc>
          <w:tcPr>
            <w:tcW w:w="1734"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0"/>
                <w:szCs w:val="20"/>
                <w:u w:val="none"/>
              </w:rPr>
            </w:pPr>
          </w:p>
        </w:tc>
        <w:tc>
          <w:tcPr>
            <w:tcW w:w="1800"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0"/>
                <w:szCs w:val="20"/>
                <w:u w:val="none"/>
              </w:rPr>
            </w:pPr>
          </w:p>
        </w:tc>
        <w:tc>
          <w:tcPr>
            <w:tcW w:w="1100"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0"/>
                <w:szCs w:val="20"/>
                <w:u w:val="none"/>
              </w:rPr>
            </w:pPr>
          </w:p>
        </w:tc>
        <w:tc>
          <w:tcPr>
            <w:tcW w:w="1333" w:type="dxa"/>
            <w:tcBorders>
              <w:top w:val="nil"/>
              <w:left w:val="nil"/>
              <w:bottom w:val="nil"/>
              <w:right w:val="nil"/>
            </w:tcBorders>
            <w:shd w:val="clear" w:color="auto" w:fill="auto"/>
            <w:noWrap/>
            <w:vAlign w:val="center"/>
          </w:tcPr>
          <w:p>
            <w:pPr>
              <w:rPr>
                <w:rFonts w:ascii="宋体" w:eastAsia="宋体" w:cs="宋体" w:hint="eastAsia"/>
                <w:i w:val="0"/>
                <w:iCs w:val="0"/>
                <w:color w:val="000000"/>
                <w:sz w:val="20"/>
                <w:szCs w:val="20"/>
                <w:u w:val="none"/>
              </w:rPr>
            </w:pPr>
          </w:p>
        </w:tc>
      </w:tr>
      <w:tr>
        <w:trPr>
          <w:trHeight w:val="435"/>
        </w:trPr>
        <w:tc>
          <w:tcPr>
            <w:tcW w:w="233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专项（项目）名称</w:t>
            </w:r>
          </w:p>
        </w:tc>
        <w:tc>
          <w:tcPr>
            <w:tcW w:w="756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省级民族地区开发资金（含上年结转）</w:t>
            </w:r>
          </w:p>
        </w:tc>
      </w:tr>
      <w:tr>
        <w:trPr>
          <w:trHeight w:val="435"/>
        </w:trPr>
        <w:tc>
          <w:tcPr>
            <w:tcW w:w="233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项目主管单位</w:t>
            </w:r>
          </w:p>
        </w:tc>
        <w:tc>
          <w:tcPr>
            <w:tcW w:w="756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攀枝花市民族宗教事务委员会</w:t>
            </w:r>
          </w:p>
        </w:tc>
      </w:tr>
      <w:tr>
        <w:trPr>
          <w:trHeight w:val="435"/>
        </w:trPr>
        <w:tc>
          <w:tcPr>
            <w:tcW w:w="233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项目实施单位</w:t>
            </w:r>
          </w:p>
        </w:tc>
        <w:tc>
          <w:tcPr>
            <w:tcW w:w="756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攀枝花市民族宗教事务委员会</w:t>
            </w:r>
          </w:p>
        </w:tc>
      </w:tr>
      <w:tr>
        <w:trPr>
          <w:trHeight w:val="435"/>
        </w:trPr>
        <w:tc>
          <w:tcPr>
            <w:tcW w:w="233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项目资金</w:t>
              <w:br/>
              <w:t>（万元）</w:t>
            </w: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int="eastAsia"/>
                <w:i w:val="0"/>
                <w:iCs w:val="0"/>
                <w:color w:val="000000"/>
                <w:sz w:val="20"/>
                <w:szCs w:val="20"/>
                <w:u w:val="none"/>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全年预算数</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实际完成数</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执行率（%）</w:t>
            </w:r>
          </w:p>
        </w:tc>
      </w:tr>
      <w:tr>
        <w:trPr>
          <w:trHeight w:val="435"/>
        </w:trPr>
        <w:tc>
          <w:tcPr>
            <w:tcW w:w="233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 xml:space="preserve"> 年度资金总额：</w:t>
            </w:r>
          </w:p>
        </w:tc>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12.62</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8.39</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66%</w:t>
            </w:r>
          </w:p>
        </w:tc>
      </w:tr>
      <w:tr>
        <w:trPr>
          <w:trHeight w:val="435"/>
        </w:trPr>
        <w:tc>
          <w:tcPr>
            <w:tcW w:w="233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 xml:space="preserve">       其中：上级财政资金</w:t>
            </w:r>
          </w:p>
        </w:tc>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12.62</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8.39</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66%</w:t>
            </w:r>
          </w:p>
        </w:tc>
      </w:tr>
      <w:tr>
        <w:trPr>
          <w:trHeight w:val="435"/>
        </w:trPr>
        <w:tc>
          <w:tcPr>
            <w:tcW w:w="233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 xml:space="preserve">             本级财政资金</w:t>
            </w:r>
          </w:p>
        </w:tc>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int="eastAsia"/>
                <w:i w:val="0"/>
                <w:iCs w:val="0"/>
                <w:color w:val="000000"/>
                <w:sz w:val="20"/>
                <w:szCs w:val="20"/>
                <w:u w:val="none"/>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int="eastAsia"/>
                <w:i w:val="0"/>
                <w:iCs w:val="0"/>
                <w:color w:val="000000"/>
                <w:sz w:val="20"/>
                <w:szCs w:val="20"/>
                <w:u w:val="none"/>
              </w:rPr>
            </w:pP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int="eastAsia"/>
                <w:i w:val="0"/>
                <w:iCs w:val="0"/>
                <w:color w:val="000000"/>
                <w:sz w:val="20"/>
                <w:szCs w:val="20"/>
                <w:u w:val="none"/>
              </w:rPr>
            </w:pPr>
          </w:p>
        </w:tc>
      </w:tr>
      <w:tr>
        <w:trPr>
          <w:trHeight w:val="435"/>
        </w:trPr>
        <w:tc>
          <w:tcPr>
            <w:tcW w:w="2336"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 xml:space="preserve">             其他资金</w:t>
            </w:r>
          </w:p>
        </w:tc>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0"/>
                <w:szCs w:val="20"/>
                <w:u w:val="none"/>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int="eastAsia"/>
                <w:i w:val="0"/>
                <w:iCs w:val="0"/>
                <w:color w:val="000000"/>
                <w:sz w:val="20"/>
                <w:szCs w:val="20"/>
                <w:u w:val="none"/>
              </w:rPr>
            </w:pP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int="eastAsia"/>
                <w:i w:val="0"/>
                <w:iCs w:val="0"/>
                <w:color w:val="000000"/>
                <w:sz w:val="20"/>
                <w:szCs w:val="20"/>
                <w:u w:val="none"/>
              </w:rPr>
            </w:pPr>
          </w:p>
        </w:tc>
      </w:tr>
      <w:tr>
        <w:trPr>
          <w:trHeight w:val="435"/>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总</w:t>
              <w:br/>
              <w:t>体</w:t>
              <w:br/>
              <w:t>目</w:t>
              <w:br/>
              <w:t>标</w:t>
            </w: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年度设定目标</w:t>
            </w:r>
          </w:p>
        </w:tc>
        <w:tc>
          <w:tcPr>
            <w:tcW w:w="596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实际完成情况</w:t>
            </w:r>
          </w:p>
        </w:tc>
      </w:tr>
      <w:tr>
        <w:trPr>
          <w:trHeight w:val="675"/>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noWrap/>
          </w:tcPr>
          <w:p>
            <w:pPr>
              <w:keepNext w:val="0"/>
              <w:keepLines w:val="0"/>
              <w:widowControl/>
              <w:suppressLineNumbers w:val="0"/>
              <w:jc w:val="center"/>
              <w:textAlignment w:val="top"/>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两资项目公示、两资业务工作会议、项目管理培训、两资宣传活动等</w:t>
            </w:r>
          </w:p>
        </w:tc>
        <w:tc>
          <w:tcPr>
            <w:tcW w:w="5967" w:type="dxa"/>
            <w:gridSpan w:val="4"/>
            <w:tcBorders>
              <w:top w:val="single" w:sz="4" w:space="0" w:color="000000"/>
              <w:left w:val="single" w:sz="4" w:space="0" w:color="000000"/>
              <w:bottom w:val="single" w:sz="4" w:space="0" w:color="000000"/>
              <w:right w:val="single" w:sz="4" w:space="0" w:color="000000"/>
            </w:tcBorders>
            <w:shd w:val="clear" w:color="auto" w:fill="auto"/>
            <w:noWrap/>
          </w:tcPr>
          <w:p>
            <w:pPr>
              <w:keepNext w:val="0"/>
              <w:keepLines w:val="0"/>
              <w:widowControl/>
              <w:suppressLineNumbers w:val="0"/>
              <w:jc w:val="center"/>
              <w:textAlignment w:val="top"/>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开展两资管理人员培训、会议、绩效考评、调研等工作，支付两资设立四十周年系列视频尾款以及两资宣传等。</w:t>
            </w:r>
          </w:p>
        </w:tc>
      </w:tr>
      <w:tr>
        <w:trPr>
          <w:trHeight w:val="102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绩</w:t>
              <w:br/>
              <w:t>效</w:t>
              <w:br/>
              <w:t>指</w:t>
              <w:br/>
              <w:t>标</w:t>
            </w:r>
          </w:p>
        </w:tc>
        <w:tc>
          <w:tcPr>
            <w:tcW w:w="867" w:type="dxa"/>
            <w:tcBorders>
              <w:top w:val="single" w:sz="4" w:space="0" w:color="000000"/>
              <w:left w:val="single" w:sz="4" w:space="0" w:color="000000"/>
              <w:bottom w:val="nil"/>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一级</w:t>
              <w:br/>
              <w:t>指标</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二级指标</w:t>
            </w: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三级指标</w:t>
            </w:r>
          </w:p>
        </w:tc>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年度指标值</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实际完成数</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完成率（%）</w:t>
            </w:r>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未完成原因和改进措施</w:t>
            </w:r>
          </w:p>
        </w:tc>
      </w:tr>
      <w:tr>
        <w:trPr>
          <w:trHeight w:val="14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867" w:type="dxa"/>
            <w:vMerge w:val="restart"/>
            <w:tcBorders>
              <w:top w:val="single" w:sz="4" w:space="0" w:color="000000"/>
              <w:left w:val="single" w:sz="4" w:space="0" w:color="000000"/>
              <w:bottom w:val="nil"/>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项目完成</w:t>
            </w:r>
          </w:p>
        </w:tc>
        <w:tc>
          <w:tcPr>
            <w:tcW w:w="719" w:type="dxa"/>
            <w:vMerge w:val="restart"/>
            <w:tcBorders>
              <w:top w:val="single" w:sz="4" w:space="0" w:color="000000"/>
              <w:left w:val="single" w:sz="4" w:space="0" w:color="000000"/>
              <w:bottom w:val="nil"/>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数量指标</w:t>
            </w: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 xml:space="preserve"> 指标1：两资管理业务培训、会议、调研、考评等</w:t>
            </w:r>
          </w:p>
        </w:tc>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开展两资管理业务培训、会议、调研、考评等10次及以上。</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开展两资管理业务培训、会议、调研、考评等7余次。</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61%</w:t>
            </w:r>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由于年底财政紧张，部分项目未能及时拨付，今后加强与财政沟通协调，使项目资金及时拨付到位。</w:t>
            </w:r>
          </w:p>
        </w:tc>
      </w:tr>
      <w:tr>
        <w:trPr>
          <w:trHeight w:val="979"/>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867" w:type="dxa"/>
            <w:vMerge/>
            <w:tcBorders>
              <w:top w:val="single" w:sz="4" w:space="0" w:color="000000"/>
              <w:left w:val="single" w:sz="4" w:space="0" w:color="000000"/>
              <w:bottom w:val="nil"/>
              <w:right w:val="single" w:sz="4" w:space="0" w:color="000000"/>
            </w:tcBorders>
            <w:shd w:val="clear" w:color="auto" w:fill="auto"/>
            <w:noWrap/>
            <w:vAlign w:val="center"/>
          </w:tcPr>
          <w:p/>
        </w:tc>
        <w:tc>
          <w:tcPr>
            <w:tcW w:w="719" w:type="dxa"/>
            <w:vMerge/>
            <w:tcBorders>
              <w:top w:val="single" w:sz="4" w:space="0" w:color="000000"/>
              <w:left w:val="single" w:sz="4" w:space="0" w:color="000000"/>
              <w:bottom w:val="nil"/>
              <w:right w:val="single" w:sz="4" w:space="0" w:color="000000"/>
            </w:tcBorders>
            <w:shd w:val="clear" w:color="auto" w:fill="auto"/>
            <w:noWrap/>
            <w:vAlign w:val="center"/>
          </w:tcP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 xml:space="preserve"> 指标2：四十周年系列视频</w:t>
            </w:r>
          </w:p>
        </w:tc>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完成四十周年系列视频尾款支付1次</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完成四十周年系列视频尾款支付。</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100%</w:t>
            </w:r>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加强项目开展进度的跟踪，发挥资金的使用效益，提高预算完成率</w:t>
            </w:r>
          </w:p>
        </w:tc>
      </w:tr>
      <w:tr>
        <w:trPr>
          <w:trHeight w:val="96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867" w:type="dxa"/>
            <w:vMerge/>
            <w:tcBorders>
              <w:top w:val="single" w:sz="4" w:space="0" w:color="000000"/>
              <w:left w:val="single" w:sz="4" w:space="0" w:color="000000"/>
              <w:bottom w:val="nil"/>
              <w:right w:val="single" w:sz="4" w:space="0" w:color="000000"/>
            </w:tcBorders>
            <w:shd w:val="clear" w:color="auto" w:fill="auto"/>
            <w:noWrap/>
            <w:vAlign w:val="center"/>
          </w:tcPr>
          <w:p/>
        </w:tc>
        <w:tc>
          <w:tcPr>
            <w:tcW w:w="719" w:type="dxa"/>
            <w:vMerge/>
            <w:tcBorders>
              <w:top w:val="single" w:sz="4" w:space="0" w:color="000000"/>
              <w:left w:val="single" w:sz="4" w:space="0" w:color="000000"/>
              <w:bottom w:val="nil"/>
              <w:right w:val="single" w:sz="4" w:space="0" w:color="000000"/>
            </w:tcBorders>
            <w:shd w:val="clear" w:color="auto" w:fill="auto"/>
            <w:noWrap/>
            <w:vAlign w:val="center"/>
          </w:tcP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 xml:space="preserve"> 指标3：两资管理资料印制等宣传工作</w:t>
            </w:r>
          </w:p>
        </w:tc>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开展好两资管理资料印制等宣传工作，印发资料1万张以上。</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开展两资管理资料印制等宣传工作，优化民族专项资金投入导向。</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69%</w:t>
            </w:r>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由于年底财政紧张，部分项目未能及时拨付，今后加强与财政沟通协调，使项目资金及时拨付到位。</w:t>
            </w:r>
          </w:p>
        </w:tc>
      </w:tr>
      <w:tr>
        <w:trPr>
          <w:trHeight w:val="90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867" w:type="dxa"/>
            <w:vMerge/>
            <w:tcBorders>
              <w:top w:val="single" w:sz="4" w:space="0" w:color="000000"/>
              <w:left w:val="single" w:sz="4" w:space="0" w:color="000000"/>
              <w:bottom w:val="nil"/>
              <w:right w:val="single" w:sz="4" w:space="0" w:color="000000"/>
            </w:tcBorders>
            <w:shd w:val="clear" w:color="auto" w:fill="auto"/>
            <w:noWrap/>
            <w:vAlign w:val="center"/>
          </w:tcPr>
          <w:p/>
        </w:tc>
        <w:tc>
          <w:tcPr>
            <w:tcW w:w="719" w:type="dxa"/>
            <w:tcBorders>
              <w:top w:val="single" w:sz="4" w:space="0" w:color="000000"/>
              <w:left w:val="single" w:sz="4" w:space="0" w:color="000000"/>
              <w:bottom w:val="nil"/>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质量指标</w:t>
            </w: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 xml:space="preserve"> 指标1：提高项目管理水平</w:t>
            </w:r>
          </w:p>
        </w:tc>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提高项目管理人员业务水平；确保两资项目发挥最大效益</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提高项目管理人员业务水平；确保两资项目发挥最大效益。</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100%</w:t>
            </w:r>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加强项目开展进度的跟踪，发挥资金的使用效益，提高预算完成率</w:t>
            </w:r>
          </w:p>
        </w:tc>
      </w:tr>
      <w:tr>
        <w:trPr>
          <w:trHeight w:val="159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867" w:type="dxa"/>
            <w:vMerge/>
            <w:tcBorders>
              <w:top w:val="single" w:sz="4" w:space="0" w:color="000000"/>
              <w:left w:val="single" w:sz="4" w:space="0" w:color="000000"/>
              <w:bottom w:val="nil"/>
              <w:right w:val="single" w:sz="4" w:space="0" w:color="000000"/>
            </w:tcBorders>
            <w:shd w:val="clear" w:color="auto" w:fill="auto"/>
            <w:noWrap/>
            <w:vAlign w:val="center"/>
          </w:tcPr>
          <w:p/>
        </w:tc>
        <w:tc>
          <w:tcPr>
            <w:tcW w:w="719" w:type="dxa"/>
            <w:tcBorders>
              <w:top w:val="single" w:sz="4" w:space="0" w:color="000000"/>
              <w:left w:val="single" w:sz="4" w:space="0" w:color="000000"/>
              <w:bottom w:val="nil"/>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时效指标</w:t>
            </w: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 xml:space="preserve"> 指标1：按工作计划</w:t>
            </w:r>
          </w:p>
        </w:tc>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2021年全年</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2021年完成</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66%</w:t>
            </w:r>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由于年底财政紧张，部分项目未能及时拨付，今后加强与财政沟通协调，使项目资金及时拨付到位。</w:t>
            </w:r>
          </w:p>
        </w:tc>
      </w:tr>
      <w:tr>
        <w:trPr>
          <w:trHeight w:val="1605"/>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867" w:type="dxa"/>
            <w:vMerge/>
            <w:tcBorders>
              <w:top w:val="single" w:sz="4" w:space="0" w:color="000000"/>
              <w:left w:val="single" w:sz="4" w:space="0" w:color="000000"/>
              <w:bottom w:val="nil"/>
              <w:right w:val="single" w:sz="4" w:space="0" w:color="000000"/>
            </w:tcBorders>
            <w:shd w:val="clear" w:color="auto" w:fill="auto"/>
            <w:noWrap/>
            <w:vAlign w:val="center"/>
          </w:tcPr>
          <w:p/>
        </w:tc>
        <w:tc>
          <w:tcPr>
            <w:tcW w:w="719" w:type="dxa"/>
            <w:vMerge w:val="restart"/>
            <w:tcBorders>
              <w:top w:val="single" w:sz="4" w:space="0" w:color="000000"/>
              <w:left w:val="single" w:sz="4" w:space="0" w:color="000000"/>
              <w:bottom w:val="nil"/>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成本指标</w:t>
            </w: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 xml:space="preserve"> 指标1：两资管理业务培训、会议、调研、考评等</w:t>
            </w:r>
          </w:p>
        </w:tc>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8万元</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4.89万元</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61%</w:t>
            </w:r>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由于年底财政紧张，部分项目未能及时拨付，今后加强与财政沟通协调，使项目资金及时拨付到位。</w:t>
            </w:r>
          </w:p>
        </w:tc>
      </w:tr>
      <w:tr>
        <w:trPr>
          <w:trHeight w:val="979"/>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867" w:type="dxa"/>
            <w:vMerge/>
            <w:tcBorders>
              <w:top w:val="single" w:sz="4" w:space="0" w:color="000000"/>
              <w:left w:val="single" w:sz="4" w:space="0" w:color="000000"/>
              <w:bottom w:val="nil"/>
              <w:right w:val="single" w:sz="4" w:space="0" w:color="000000"/>
            </w:tcBorders>
            <w:shd w:val="clear" w:color="auto" w:fill="auto"/>
            <w:noWrap/>
            <w:vAlign w:val="center"/>
          </w:tcPr>
          <w:p/>
        </w:tc>
        <w:tc>
          <w:tcPr>
            <w:tcW w:w="719" w:type="dxa"/>
            <w:vMerge/>
            <w:tcBorders>
              <w:top w:val="single" w:sz="4" w:space="0" w:color="000000"/>
              <w:left w:val="single" w:sz="4" w:space="0" w:color="000000"/>
              <w:bottom w:val="nil"/>
              <w:right w:val="single" w:sz="4" w:space="0" w:color="000000"/>
            </w:tcBorders>
            <w:shd w:val="clear" w:color="auto" w:fill="auto"/>
            <w:noWrap/>
            <w:vAlign w:val="center"/>
          </w:tcP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 xml:space="preserve"> 指标2：四十周年系列视频尾款</w:t>
            </w:r>
          </w:p>
        </w:tc>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1万元</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1万元</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100%</w:t>
            </w:r>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加强项目开展进度的跟踪，发挥资金的使用效益，提高预算完成率</w:t>
            </w:r>
          </w:p>
        </w:tc>
      </w:tr>
      <w:tr>
        <w:trPr>
          <w:trHeight w:val="153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867" w:type="dxa"/>
            <w:vMerge/>
            <w:tcBorders>
              <w:top w:val="single" w:sz="4" w:space="0" w:color="000000"/>
              <w:left w:val="single" w:sz="4" w:space="0" w:color="000000"/>
              <w:bottom w:val="nil"/>
              <w:right w:val="single" w:sz="4" w:space="0" w:color="000000"/>
            </w:tcBorders>
            <w:shd w:val="clear" w:color="auto" w:fill="auto"/>
            <w:noWrap/>
            <w:vAlign w:val="center"/>
          </w:tcPr>
          <w:p/>
        </w:tc>
        <w:tc>
          <w:tcPr>
            <w:tcW w:w="719" w:type="dxa"/>
            <w:vMerge/>
            <w:tcBorders>
              <w:top w:val="single" w:sz="4" w:space="0" w:color="000000"/>
              <w:left w:val="single" w:sz="4" w:space="0" w:color="000000"/>
              <w:bottom w:val="nil"/>
              <w:right w:val="single" w:sz="4" w:space="0" w:color="000000"/>
            </w:tcBorders>
            <w:shd w:val="clear" w:color="auto" w:fill="auto"/>
            <w:noWrap/>
            <w:vAlign w:val="center"/>
          </w:tcP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 xml:space="preserve"> 指标3：两资管理资料印制等宣传工作</w:t>
            </w:r>
          </w:p>
        </w:tc>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3</w:t>
            </w:r>
            <w:r>
              <w:rPr>
                <w:rStyle w:val="37"/>
                <w:lang w:val="en-US" w:eastAsia="zh-CN"/>
              </w:rPr>
              <w:t>.62万元</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2.5万元</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69%</w:t>
            </w:r>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由于年底财政紧张，部分项目未能及时拨付，今后加强与财政沟通协调，使项目资金及时拨付到位。</w:t>
            </w:r>
          </w:p>
        </w:tc>
      </w:tr>
      <w:tr>
        <w:trPr>
          <w:trHeight w:val="110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867" w:type="dxa"/>
            <w:tcBorders>
              <w:top w:val="single" w:sz="4" w:space="0" w:color="000000"/>
              <w:left w:val="single" w:sz="4" w:space="0" w:color="000000"/>
              <w:bottom w:val="nil"/>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项目效益</w:t>
            </w:r>
          </w:p>
        </w:tc>
        <w:tc>
          <w:tcPr>
            <w:tcW w:w="719" w:type="dxa"/>
            <w:tcBorders>
              <w:top w:val="single" w:sz="4" w:space="0" w:color="000000"/>
              <w:left w:val="single" w:sz="4" w:space="0" w:color="000000"/>
              <w:bottom w:val="nil"/>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社会效益</w:t>
              <w:br/>
              <w:t>指标</w:t>
            </w: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 xml:space="preserve"> 指标1：促进项目管理科学化，进一步规范两资管理工作</w:t>
            </w:r>
          </w:p>
        </w:tc>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100%-80%（含）</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100%-80%（含）</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100%</w:t>
            </w:r>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加强项目开展进度的跟踪，发挥资金的使用效益，提高预算完成率</w:t>
            </w:r>
          </w:p>
        </w:tc>
      </w:tr>
      <w:tr>
        <w:trPr>
          <w:trHeight w:val="102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8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满意度指标</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满意度指标</w:t>
            </w:r>
          </w:p>
        </w:tc>
        <w:tc>
          <w:tcPr>
            <w:tcW w:w="1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 xml:space="preserve"> 指标1：两资管理工作业务骨干及群众</w:t>
            </w:r>
          </w:p>
        </w:tc>
        <w:tc>
          <w:tcPr>
            <w:tcW w:w="1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基本满意及以上</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基本满意及以上</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100%</w:t>
            </w:r>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加强项目开展进度的跟踪，发挥资金的使用效益，提高预算完成率</w:t>
            </w:r>
          </w:p>
        </w:tc>
      </w:tr>
    </w:tbl>
    <w:p>
      <w:pPr>
        <w:spacing w:line="600" w:lineRule="exact"/>
        <w:jc w:val="left"/>
        <w:outlineLvl w:val="0"/>
        <w:rPr>
          <w:rFonts w:ascii="黑体" w:eastAsia="黑体"/>
          <w:color w:val="000000"/>
          <w:sz w:val="44"/>
          <w:szCs w:val="44"/>
        </w:rPr>
      </w:pPr>
    </w:p>
    <w:p>
      <w:pPr>
        <w:pStyle w:val="15"/>
        <w:rPr>
          <w:rFonts w:ascii="黑体" w:eastAsia="黑体"/>
          <w:color w:val="000000"/>
          <w:sz w:val="44"/>
          <w:szCs w:val="44"/>
        </w:rPr>
      </w:pPr>
    </w:p>
    <w:p>
      <w:pPr>
        <w:pStyle w:val="15"/>
        <w:rPr>
          <w:rFonts w:ascii="黑体" w:eastAsia="黑体"/>
          <w:color w:val="000000"/>
          <w:sz w:val="44"/>
          <w:szCs w:val="44"/>
        </w:rPr>
      </w:pPr>
    </w:p>
    <w:p>
      <w:pPr>
        <w:pStyle w:val="15"/>
        <w:rPr>
          <w:rFonts w:ascii="黑体" w:eastAsia="黑体"/>
          <w:color w:val="000000"/>
          <w:sz w:val="44"/>
          <w:szCs w:val="44"/>
        </w:rPr>
      </w:pPr>
    </w:p>
    <w:p>
      <w:pPr>
        <w:pStyle w:val="15"/>
        <w:rPr>
          <w:rFonts w:ascii="黑体" w:eastAsia="黑体"/>
          <w:color w:val="000000"/>
          <w:sz w:val="44"/>
          <w:szCs w:val="44"/>
        </w:rPr>
      </w:pPr>
    </w:p>
    <w:p>
      <w:pPr>
        <w:pStyle w:val="15"/>
        <w:rPr>
          <w:rFonts w:ascii="黑体" w:eastAsia="黑体"/>
          <w:color w:val="000000"/>
          <w:sz w:val="44"/>
          <w:szCs w:val="44"/>
        </w:rPr>
      </w:pPr>
    </w:p>
    <w:p>
      <w:pPr>
        <w:pStyle w:val="15"/>
        <w:rPr>
          <w:rFonts w:ascii="黑体" w:eastAsia="黑体"/>
          <w:color w:val="000000"/>
          <w:sz w:val="44"/>
          <w:szCs w:val="44"/>
        </w:rPr>
      </w:pPr>
    </w:p>
    <w:p>
      <w:pPr>
        <w:pStyle w:val="15"/>
        <w:rPr>
          <w:rFonts w:ascii="黑体" w:eastAsia="黑体"/>
          <w:color w:val="000000"/>
          <w:sz w:val="44"/>
          <w:szCs w:val="44"/>
        </w:rPr>
      </w:pPr>
    </w:p>
    <w:p>
      <w:pPr>
        <w:pStyle w:val="15"/>
        <w:rPr>
          <w:rFonts w:ascii="黑体" w:eastAsia="黑体"/>
          <w:color w:val="000000"/>
          <w:sz w:val="44"/>
          <w:szCs w:val="44"/>
        </w:rPr>
      </w:pPr>
    </w:p>
    <w:p>
      <w:pPr>
        <w:pStyle w:val="15"/>
        <w:rPr>
          <w:rFonts w:ascii="黑体" w:eastAsia="黑体"/>
          <w:color w:val="000000"/>
          <w:sz w:val="44"/>
          <w:szCs w:val="44"/>
        </w:rPr>
      </w:pPr>
    </w:p>
    <w:p>
      <w:pPr>
        <w:pStyle w:val="15"/>
        <w:rPr>
          <w:rFonts w:ascii="黑体" w:eastAsia="黑体"/>
          <w:color w:val="000000"/>
          <w:sz w:val="44"/>
          <w:szCs w:val="44"/>
        </w:rPr>
      </w:pPr>
    </w:p>
    <w:p>
      <w:pPr>
        <w:pStyle w:val="15"/>
        <w:rPr>
          <w:rFonts w:ascii="黑体" w:eastAsia="黑体"/>
          <w:color w:val="000000"/>
          <w:sz w:val="44"/>
          <w:szCs w:val="44"/>
        </w:rPr>
      </w:pPr>
    </w:p>
    <w:p>
      <w:pPr>
        <w:pStyle w:val="15"/>
        <w:rPr>
          <w:rFonts w:ascii="黑体" w:eastAsia="黑体"/>
          <w:color w:val="000000"/>
          <w:sz w:val="44"/>
          <w:szCs w:val="44"/>
        </w:rPr>
      </w:pPr>
    </w:p>
    <w:p>
      <w:pPr>
        <w:pStyle w:val="15"/>
        <w:rPr>
          <w:rFonts w:ascii="黑体" w:eastAsia="黑体"/>
          <w:color w:val="000000"/>
          <w:sz w:val="44"/>
          <w:szCs w:val="44"/>
        </w:rPr>
      </w:pPr>
    </w:p>
    <w:p>
      <w:pPr>
        <w:spacing w:line="600" w:lineRule="exact"/>
        <w:jc w:val="center"/>
        <w:outlineLvl w:val="0"/>
        <w:rPr>
          <w:rFonts w:ascii="黑体" w:eastAsia="黑体"/>
          <w:bCs/>
          <w:kern w:val="44"/>
          <w:sz w:val="44"/>
          <w:szCs w:val="44"/>
        </w:rPr>
      </w:pPr>
      <w:bookmarkStart w:id="90" w:name="_Toc11410"/>
      <w:r>
        <w:rPr>
          <w:rFonts w:ascii="黑体" w:eastAsia="黑体" w:hint="eastAsia"/>
          <w:color w:val="000000"/>
          <w:sz w:val="44"/>
          <w:szCs w:val="44"/>
        </w:rPr>
        <w:t>第</w:t>
      </w:r>
      <w:r>
        <w:rPr>
          <w:rStyle w:val="1Char"/>
          <w:rFonts w:ascii="黑体" w:eastAsia="黑体" w:hint="eastAsia"/>
          <w:b w:val="0"/>
        </w:rPr>
        <w:t>五部分 附表</w:t>
      </w:r>
      <w:bookmarkEnd w:id="88"/>
      <w:bookmarkEnd w:id="90"/>
    </w:p>
    <w:p>
      <w:pPr>
        <w:pStyle w:val="2"/>
        <w:rPr>
          <w:rFonts w:ascii="仿宋_GB2312" w:eastAsia="仿宋_GB2312" w:cs="仿宋_GB2312"/>
          <w:color w:val="000000"/>
          <w:sz w:val="30"/>
          <w:szCs w:val="30"/>
        </w:rPr>
      </w:pPr>
      <w:bookmarkStart w:id="91" w:name="_Toc3434"/>
      <w:r>
        <w:rPr>
          <w:rFonts w:ascii="仿宋_GB2312" w:eastAsia="仿宋_GB2312" w:cs="仿宋_GB2312" w:hint="eastAsia"/>
          <w:b w:val="0"/>
          <w:color w:val="000000"/>
          <w:sz w:val="30"/>
          <w:szCs w:val="30"/>
        </w:rPr>
        <w:t>一、收</w:t>
      </w:r>
      <w:r>
        <w:rPr>
          <w:rStyle w:val="2Char"/>
          <w:rFonts w:ascii="仿宋_GB2312" w:eastAsia="仿宋_GB2312" w:cs="仿宋_GB2312" w:hint="eastAsia"/>
          <w:b w:val="0"/>
          <w:bCs w:val="0"/>
          <w:sz w:val="30"/>
          <w:szCs w:val="30"/>
        </w:rPr>
        <w:t>入支出决算总表</w:t>
      </w:r>
      <w:bookmarkEnd w:id="91"/>
    </w:p>
    <w:p>
      <w:pPr>
        <w:pStyle w:val="2"/>
        <w:rPr>
          <w:rFonts w:ascii="仿宋_GB2312" w:eastAsia="仿宋_GB2312" w:cs="仿宋_GB2312"/>
          <w:color w:val="000000"/>
          <w:sz w:val="30"/>
          <w:szCs w:val="30"/>
        </w:rPr>
      </w:pPr>
      <w:bookmarkStart w:id="92" w:name="_Toc20313"/>
      <w:r>
        <w:rPr>
          <w:rFonts w:ascii="仿宋_GB2312" w:eastAsia="仿宋_GB2312" w:cs="仿宋_GB2312" w:hint="eastAsia"/>
          <w:b w:val="0"/>
          <w:color w:val="000000"/>
          <w:sz w:val="30"/>
          <w:szCs w:val="30"/>
        </w:rPr>
        <w:t>二、收</w:t>
      </w:r>
      <w:r>
        <w:rPr>
          <w:rStyle w:val="2Char"/>
          <w:rFonts w:ascii="仿宋_GB2312" w:eastAsia="仿宋_GB2312" w:cs="仿宋_GB2312" w:hint="eastAsia"/>
          <w:b w:val="0"/>
          <w:bCs w:val="0"/>
          <w:sz w:val="30"/>
          <w:szCs w:val="30"/>
        </w:rPr>
        <w:t>入决算表</w:t>
      </w:r>
      <w:bookmarkEnd w:id="92"/>
    </w:p>
    <w:p>
      <w:pPr>
        <w:pStyle w:val="2"/>
        <w:rPr>
          <w:rFonts w:ascii="仿宋_GB2312" w:eastAsia="仿宋_GB2312" w:cs="仿宋_GB2312"/>
          <w:color w:val="000000"/>
          <w:sz w:val="30"/>
          <w:szCs w:val="30"/>
        </w:rPr>
      </w:pPr>
      <w:bookmarkStart w:id="93" w:name="_Toc16026"/>
      <w:r>
        <w:rPr>
          <w:rStyle w:val="2Char"/>
          <w:rFonts w:ascii="仿宋_GB2312" w:eastAsia="仿宋_GB2312" w:cs="仿宋_GB2312" w:hint="eastAsia"/>
          <w:b w:val="0"/>
          <w:bCs w:val="0"/>
          <w:sz w:val="30"/>
          <w:szCs w:val="30"/>
        </w:rPr>
        <w:t>三、</w:t>
      </w:r>
      <w:r>
        <w:rPr>
          <w:rFonts w:ascii="仿宋_GB2312" w:eastAsia="仿宋_GB2312" w:cs="仿宋_GB2312" w:hint="eastAsia"/>
          <w:b w:val="0"/>
          <w:color w:val="000000"/>
          <w:sz w:val="30"/>
          <w:szCs w:val="30"/>
        </w:rPr>
        <w:t>支</w:t>
      </w:r>
      <w:r>
        <w:rPr>
          <w:rStyle w:val="2Char"/>
          <w:rFonts w:ascii="仿宋_GB2312" w:eastAsia="仿宋_GB2312" w:cs="仿宋_GB2312" w:hint="eastAsia"/>
          <w:b w:val="0"/>
          <w:bCs w:val="0"/>
          <w:sz w:val="30"/>
          <w:szCs w:val="30"/>
        </w:rPr>
        <w:t>出决算表</w:t>
      </w:r>
      <w:bookmarkEnd w:id="93"/>
    </w:p>
    <w:p>
      <w:pPr>
        <w:pStyle w:val="2"/>
        <w:rPr>
          <w:rFonts w:ascii="仿宋_GB2312" w:eastAsia="仿宋_GB2312" w:cs="仿宋_GB2312"/>
          <w:b w:val="0"/>
          <w:color w:val="000000"/>
          <w:sz w:val="30"/>
          <w:szCs w:val="30"/>
        </w:rPr>
      </w:pPr>
      <w:bookmarkStart w:id="94" w:name="_Toc27228"/>
      <w:r>
        <w:rPr>
          <w:rStyle w:val="2Char"/>
          <w:rFonts w:ascii="仿宋_GB2312" w:eastAsia="仿宋_GB2312" w:cs="仿宋_GB2312" w:hint="eastAsia"/>
          <w:b w:val="0"/>
          <w:bCs w:val="0"/>
          <w:sz w:val="30"/>
          <w:szCs w:val="30"/>
        </w:rPr>
        <w:t>四、</w:t>
      </w:r>
      <w:r>
        <w:rPr>
          <w:rFonts w:ascii="仿宋_GB2312" w:eastAsia="仿宋_GB2312" w:cs="仿宋_GB2312" w:hint="eastAsia"/>
          <w:b w:val="0"/>
          <w:color w:val="000000"/>
          <w:sz w:val="30"/>
          <w:szCs w:val="30"/>
        </w:rPr>
        <w:t>财</w:t>
      </w:r>
      <w:r>
        <w:rPr>
          <w:rStyle w:val="2Char"/>
          <w:rFonts w:ascii="仿宋_GB2312" w:eastAsia="仿宋_GB2312" w:cs="仿宋_GB2312" w:hint="eastAsia"/>
          <w:b w:val="0"/>
          <w:bCs w:val="0"/>
          <w:sz w:val="30"/>
          <w:szCs w:val="30"/>
        </w:rPr>
        <w:t>政拨款收入支出决算总表</w:t>
      </w:r>
      <w:bookmarkEnd w:id="94"/>
    </w:p>
    <w:p>
      <w:pPr>
        <w:pStyle w:val="2"/>
        <w:rPr>
          <w:rFonts w:ascii="仿宋_GB2312" w:eastAsia="仿宋_GB2312" w:cs="仿宋_GB2312"/>
          <w:color w:val="000000"/>
          <w:sz w:val="30"/>
          <w:szCs w:val="30"/>
        </w:rPr>
      </w:pPr>
      <w:bookmarkStart w:id="95" w:name="_Toc28791"/>
      <w:r>
        <w:rPr>
          <w:rStyle w:val="2Char"/>
          <w:rFonts w:ascii="仿宋_GB2312" w:eastAsia="仿宋_GB2312" w:cs="仿宋_GB2312" w:hint="eastAsia"/>
          <w:b w:val="0"/>
          <w:bCs w:val="0"/>
          <w:sz w:val="30"/>
          <w:szCs w:val="30"/>
        </w:rPr>
        <w:t>五、</w:t>
      </w:r>
      <w:r>
        <w:rPr>
          <w:rFonts w:ascii="仿宋_GB2312" w:eastAsia="仿宋_GB2312" w:cs="仿宋_GB2312" w:hint="eastAsia"/>
          <w:b w:val="0"/>
          <w:color w:val="000000"/>
          <w:sz w:val="30"/>
          <w:szCs w:val="30"/>
        </w:rPr>
        <w:t>财</w:t>
      </w:r>
      <w:r>
        <w:rPr>
          <w:rStyle w:val="2Char"/>
          <w:rFonts w:ascii="仿宋_GB2312" w:eastAsia="仿宋_GB2312" w:cs="仿宋_GB2312" w:hint="eastAsia"/>
          <w:b w:val="0"/>
          <w:bCs w:val="0"/>
          <w:sz w:val="30"/>
          <w:szCs w:val="30"/>
        </w:rPr>
        <w:t>政拨款支出决算明细表</w:t>
      </w:r>
      <w:bookmarkEnd w:id="95"/>
    </w:p>
    <w:p>
      <w:pPr>
        <w:pStyle w:val="2"/>
        <w:rPr>
          <w:rFonts w:ascii="仿宋_GB2312" w:eastAsia="仿宋_GB2312" w:cs="仿宋_GB2312"/>
          <w:color w:val="000000"/>
          <w:sz w:val="30"/>
          <w:szCs w:val="30"/>
        </w:rPr>
      </w:pPr>
      <w:bookmarkStart w:id="96" w:name="_Toc8242"/>
      <w:r>
        <w:rPr>
          <w:rStyle w:val="2Char"/>
          <w:rFonts w:ascii="仿宋_GB2312" w:eastAsia="仿宋_GB2312" w:cs="仿宋_GB2312" w:hint="eastAsia"/>
          <w:b w:val="0"/>
          <w:bCs w:val="0"/>
          <w:sz w:val="30"/>
          <w:szCs w:val="30"/>
        </w:rPr>
        <w:t>六、</w:t>
      </w:r>
      <w:r>
        <w:rPr>
          <w:rFonts w:ascii="仿宋_GB2312" w:eastAsia="仿宋_GB2312" w:cs="仿宋_GB2312" w:hint="eastAsia"/>
          <w:b w:val="0"/>
          <w:color w:val="000000"/>
          <w:sz w:val="30"/>
          <w:szCs w:val="30"/>
        </w:rPr>
        <w:t>一</w:t>
      </w:r>
      <w:r>
        <w:rPr>
          <w:rStyle w:val="2Char"/>
          <w:rFonts w:ascii="仿宋_GB2312" w:eastAsia="仿宋_GB2312" w:cs="仿宋_GB2312" w:hint="eastAsia"/>
          <w:b w:val="0"/>
          <w:bCs w:val="0"/>
          <w:sz w:val="30"/>
          <w:szCs w:val="30"/>
        </w:rPr>
        <w:t>般公共预算财政拨款支出决算表</w:t>
      </w:r>
      <w:bookmarkEnd w:id="96"/>
    </w:p>
    <w:p>
      <w:pPr>
        <w:pStyle w:val="2"/>
        <w:rPr>
          <w:rFonts w:ascii="仿宋_GB2312" w:eastAsia="仿宋_GB2312" w:cs="仿宋_GB2312"/>
          <w:color w:val="000000"/>
          <w:sz w:val="30"/>
          <w:szCs w:val="30"/>
        </w:rPr>
      </w:pPr>
      <w:bookmarkStart w:id="97" w:name="_Toc28752"/>
      <w:r>
        <w:rPr>
          <w:rStyle w:val="2Char"/>
          <w:rFonts w:ascii="仿宋_GB2312" w:eastAsia="仿宋_GB2312" w:cs="仿宋_GB2312" w:hint="eastAsia"/>
          <w:b w:val="0"/>
          <w:bCs w:val="0"/>
          <w:sz w:val="30"/>
          <w:szCs w:val="30"/>
        </w:rPr>
        <w:t>七、</w:t>
      </w:r>
      <w:r>
        <w:rPr>
          <w:rFonts w:ascii="仿宋_GB2312" w:eastAsia="仿宋_GB2312" w:cs="仿宋_GB2312" w:hint="eastAsia"/>
          <w:b w:val="0"/>
          <w:color w:val="000000"/>
          <w:sz w:val="30"/>
          <w:szCs w:val="30"/>
        </w:rPr>
        <w:t>一</w:t>
      </w:r>
      <w:r>
        <w:rPr>
          <w:rStyle w:val="2Char"/>
          <w:rFonts w:ascii="仿宋_GB2312" w:eastAsia="仿宋_GB2312" w:cs="仿宋_GB2312" w:hint="eastAsia"/>
          <w:b w:val="0"/>
          <w:bCs w:val="0"/>
          <w:sz w:val="30"/>
          <w:szCs w:val="30"/>
        </w:rPr>
        <w:t>般公共预算财政拨款支出决算明细表</w:t>
      </w:r>
      <w:bookmarkEnd w:id="97"/>
    </w:p>
    <w:p>
      <w:pPr>
        <w:pStyle w:val="2"/>
        <w:rPr>
          <w:rFonts w:ascii="仿宋_GB2312" w:eastAsia="仿宋_GB2312" w:cs="仿宋_GB2312"/>
          <w:color w:val="000000"/>
          <w:sz w:val="30"/>
          <w:szCs w:val="30"/>
        </w:rPr>
      </w:pPr>
      <w:bookmarkStart w:id="98" w:name="_Toc12725"/>
      <w:r>
        <w:rPr>
          <w:rStyle w:val="2Char"/>
          <w:rFonts w:ascii="仿宋_GB2312" w:eastAsia="仿宋_GB2312" w:cs="仿宋_GB2312" w:hint="eastAsia"/>
          <w:b w:val="0"/>
          <w:bCs w:val="0"/>
          <w:sz w:val="30"/>
          <w:szCs w:val="30"/>
        </w:rPr>
        <w:t>八、</w:t>
      </w:r>
      <w:r>
        <w:rPr>
          <w:rFonts w:ascii="仿宋_GB2312" w:eastAsia="仿宋_GB2312" w:cs="仿宋_GB2312" w:hint="eastAsia"/>
          <w:b w:val="0"/>
          <w:color w:val="000000"/>
          <w:sz w:val="30"/>
          <w:szCs w:val="30"/>
        </w:rPr>
        <w:t>一</w:t>
      </w:r>
      <w:r>
        <w:rPr>
          <w:rStyle w:val="2Char"/>
          <w:rFonts w:ascii="仿宋_GB2312" w:eastAsia="仿宋_GB2312" w:cs="仿宋_GB2312" w:hint="eastAsia"/>
          <w:b w:val="0"/>
          <w:bCs w:val="0"/>
          <w:sz w:val="30"/>
          <w:szCs w:val="30"/>
        </w:rPr>
        <w:t>般公共预算财政拨款基本支出决算表</w:t>
      </w:r>
      <w:bookmarkEnd w:id="98"/>
    </w:p>
    <w:p>
      <w:pPr>
        <w:pStyle w:val="2"/>
        <w:rPr>
          <w:rFonts w:ascii="仿宋_GB2312" w:eastAsia="仿宋_GB2312" w:cs="仿宋_GB2312"/>
          <w:color w:val="000000"/>
          <w:sz w:val="30"/>
          <w:szCs w:val="30"/>
        </w:rPr>
      </w:pPr>
      <w:bookmarkStart w:id="99" w:name="_Toc10551"/>
      <w:r>
        <w:rPr>
          <w:rStyle w:val="2Char"/>
          <w:rFonts w:ascii="仿宋_GB2312" w:eastAsia="仿宋_GB2312" w:cs="仿宋_GB2312" w:hint="eastAsia"/>
          <w:b w:val="0"/>
          <w:bCs w:val="0"/>
          <w:sz w:val="30"/>
          <w:szCs w:val="30"/>
        </w:rPr>
        <w:t>九、</w:t>
      </w:r>
      <w:r>
        <w:rPr>
          <w:rFonts w:ascii="仿宋_GB2312" w:eastAsia="仿宋_GB2312" w:cs="仿宋_GB2312" w:hint="eastAsia"/>
          <w:b w:val="0"/>
          <w:color w:val="000000"/>
          <w:sz w:val="30"/>
          <w:szCs w:val="30"/>
        </w:rPr>
        <w:t>一</w:t>
      </w:r>
      <w:r>
        <w:rPr>
          <w:rStyle w:val="2Char"/>
          <w:rFonts w:ascii="仿宋_GB2312" w:eastAsia="仿宋_GB2312" w:cs="仿宋_GB2312" w:hint="eastAsia"/>
          <w:b w:val="0"/>
          <w:bCs w:val="0"/>
          <w:sz w:val="30"/>
          <w:szCs w:val="30"/>
        </w:rPr>
        <w:t>般公共预算财政拨款项目支出决算表</w:t>
      </w:r>
      <w:bookmarkEnd w:id="99"/>
    </w:p>
    <w:p>
      <w:pPr>
        <w:pStyle w:val="2"/>
        <w:rPr>
          <w:rFonts w:ascii="仿宋_GB2312" w:eastAsia="仿宋_GB2312" w:cs="仿宋_GB2312"/>
          <w:color w:val="000000"/>
          <w:sz w:val="30"/>
          <w:szCs w:val="30"/>
        </w:rPr>
      </w:pPr>
      <w:bookmarkStart w:id="100" w:name="_Toc23757"/>
      <w:r>
        <w:rPr>
          <w:rStyle w:val="2Char"/>
          <w:rFonts w:ascii="仿宋_GB2312" w:eastAsia="仿宋_GB2312" w:cs="仿宋_GB2312" w:hint="eastAsia"/>
          <w:b w:val="0"/>
          <w:bCs w:val="0"/>
          <w:sz w:val="30"/>
          <w:szCs w:val="30"/>
        </w:rPr>
        <w:t>十、</w:t>
      </w:r>
      <w:r>
        <w:rPr>
          <w:rFonts w:ascii="仿宋_GB2312" w:eastAsia="仿宋_GB2312" w:cs="仿宋_GB2312" w:hint="eastAsia"/>
          <w:b w:val="0"/>
          <w:color w:val="000000"/>
          <w:sz w:val="30"/>
          <w:szCs w:val="30"/>
        </w:rPr>
        <w:t>一</w:t>
      </w:r>
      <w:r>
        <w:rPr>
          <w:rStyle w:val="2Char"/>
          <w:rFonts w:ascii="仿宋_GB2312" w:eastAsia="仿宋_GB2312" w:cs="仿宋_GB2312" w:hint="eastAsia"/>
          <w:b w:val="0"/>
          <w:bCs w:val="0"/>
          <w:sz w:val="30"/>
          <w:szCs w:val="30"/>
        </w:rPr>
        <w:t>般公共预算财政拨款“三公”经费支出决算表</w:t>
      </w:r>
      <w:bookmarkEnd w:id="100"/>
    </w:p>
    <w:p>
      <w:pPr>
        <w:pStyle w:val="2"/>
        <w:rPr>
          <w:rFonts w:ascii="仿宋_GB2312" w:eastAsia="仿宋_GB2312" w:cs="仿宋_GB2312"/>
          <w:color w:val="000000"/>
          <w:sz w:val="30"/>
          <w:szCs w:val="30"/>
        </w:rPr>
      </w:pPr>
      <w:bookmarkStart w:id="101" w:name="_Toc19497"/>
      <w:r>
        <w:rPr>
          <w:rStyle w:val="2Char"/>
          <w:rFonts w:ascii="仿宋_GB2312" w:eastAsia="仿宋_GB2312" w:cs="仿宋_GB2312" w:hint="eastAsia"/>
          <w:b w:val="0"/>
          <w:bCs w:val="0"/>
          <w:sz w:val="30"/>
          <w:szCs w:val="30"/>
        </w:rPr>
        <w:t>十一、</w:t>
      </w:r>
      <w:r>
        <w:rPr>
          <w:rFonts w:ascii="仿宋_GB2312" w:eastAsia="仿宋_GB2312" w:cs="仿宋_GB2312" w:hint="eastAsia"/>
          <w:b w:val="0"/>
          <w:color w:val="000000"/>
          <w:sz w:val="30"/>
          <w:szCs w:val="30"/>
        </w:rPr>
        <w:t>政</w:t>
      </w:r>
      <w:r>
        <w:rPr>
          <w:rStyle w:val="2Char"/>
          <w:rFonts w:ascii="仿宋_GB2312" w:eastAsia="仿宋_GB2312" w:cs="仿宋_GB2312" w:hint="eastAsia"/>
          <w:b w:val="0"/>
          <w:bCs w:val="0"/>
          <w:sz w:val="30"/>
          <w:szCs w:val="30"/>
        </w:rPr>
        <w:t>府性基金预算财政拨款收入支出决算表</w:t>
      </w:r>
      <w:bookmarkEnd w:id="101"/>
    </w:p>
    <w:p>
      <w:pPr>
        <w:pStyle w:val="2"/>
        <w:rPr>
          <w:rFonts w:ascii="仿宋_GB2312" w:eastAsia="仿宋_GB2312" w:cs="仿宋_GB2312"/>
          <w:b w:val="0"/>
          <w:bCs w:val="0"/>
          <w:sz w:val="30"/>
          <w:szCs w:val="30"/>
        </w:rPr>
      </w:pPr>
      <w:bookmarkStart w:id="102" w:name="_Toc5741"/>
      <w:r>
        <w:rPr>
          <w:rStyle w:val="2Char"/>
          <w:rFonts w:ascii="仿宋_GB2312" w:eastAsia="仿宋_GB2312" w:cs="仿宋_GB2312" w:hint="eastAsia"/>
          <w:b w:val="0"/>
          <w:bCs w:val="0"/>
          <w:sz w:val="30"/>
          <w:szCs w:val="30"/>
        </w:rPr>
        <w:t>十二、</w:t>
      </w:r>
      <w:r>
        <w:rPr>
          <w:rFonts w:ascii="仿宋_GB2312" w:eastAsia="仿宋_GB2312" w:cs="仿宋_GB2312" w:hint="eastAsia"/>
          <w:b w:val="0"/>
          <w:color w:val="000000"/>
          <w:sz w:val="30"/>
          <w:szCs w:val="30"/>
        </w:rPr>
        <w:t>政</w:t>
      </w:r>
      <w:r>
        <w:rPr>
          <w:rStyle w:val="2Char"/>
          <w:rFonts w:ascii="仿宋_GB2312" w:eastAsia="仿宋_GB2312" w:cs="仿宋_GB2312" w:hint="eastAsia"/>
          <w:b w:val="0"/>
          <w:bCs w:val="0"/>
          <w:sz w:val="30"/>
          <w:szCs w:val="30"/>
        </w:rPr>
        <w:t>府性基金预算财政拨款“三公”经费支出决算表</w:t>
      </w:r>
      <w:r>
        <w:rPr>
          <w:rFonts w:ascii="仿宋_GB2312" w:eastAsia="仿宋_GB2312" w:cs="仿宋_GB2312" w:hint="eastAsia"/>
          <w:b w:val="0"/>
          <w:color w:val="000000"/>
          <w:sz w:val="30"/>
          <w:szCs w:val="30"/>
        </w:rPr>
        <w:t>（此表无数据）</w:t>
      </w:r>
      <w:bookmarkEnd w:id="102"/>
    </w:p>
    <w:p>
      <w:pPr>
        <w:pStyle w:val="2"/>
        <w:rPr>
          <w:rStyle w:val="2Char"/>
          <w:rFonts w:ascii="仿宋_GB2312" w:eastAsia="仿宋_GB2312" w:cs="仿宋_GB2312"/>
          <w:b w:val="0"/>
          <w:bCs w:val="0"/>
          <w:sz w:val="30"/>
          <w:szCs w:val="30"/>
        </w:rPr>
      </w:pPr>
      <w:bookmarkStart w:id="103" w:name="_Toc2701"/>
      <w:r>
        <w:rPr>
          <w:rStyle w:val="2Char"/>
          <w:rFonts w:ascii="仿宋_GB2312" w:eastAsia="仿宋_GB2312" w:cs="仿宋_GB2312" w:hint="eastAsia"/>
          <w:b w:val="0"/>
          <w:bCs w:val="0"/>
          <w:sz w:val="30"/>
          <w:szCs w:val="30"/>
        </w:rPr>
        <w:t>十三、</w:t>
      </w:r>
      <w:r>
        <w:rPr>
          <w:rFonts w:ascii="仿宋_GB2312" w:eastAsia="仿宋_GB2312" w:cs="仿宋_GB2312" w:hint="eastAsia"/>
          <w:b w:val="0"/>
          <w:color w:val="000000"/>
          <w:sz w:val="30"/>
          <w:szCs w:val="30"/>
        </w:rPr>
        <w:t>国有资本经营预算财政拨款收入支出决算表（此表无数据）</w:t>
      </w:r>
      <w:bookmarkEnd w:id="103"/>
    </w:p>
    <w:p>
      <w:pPr>
        <w:pStyle w:val="2"/>
        <w:rPr>
          <w:rFonts w:ascii="仿宋_GB2312" w:eastAsia="仿宋_GB2312" w:cs="仿宋_GB2312"/>
          <w:color w:val="000000"/>
          <w14:textFill>
            <w14:solidFill>
              <w14:srgbClr w14:val="000000"/>
            </w14:solidFill>
          </w14:textFill>
        </w:rPr>
      </w:pPr>
      <w:bookmarkStart w:id="104" w:name="_Toc8597"/>
      <w:r>
        <w:rPr>
          <w:rStyle w:val="2Char"/>
          <w:rFonts w:ascii="仿宋_GB2312" w:eastAsia="仿宋_GB2312" w:cs="仿宋_GB2312" w:hint="eastAsia"/>
          <w:b w:val="0"/>
          <w:bCs w:val="0"/>
          <w:sz w:val="30"/>
          <w:szCs w:val="30"/>
        </w:rPr>
        <w:t>十四、</w:t>
      </w:r>
      <w:r>
        <w:rPr>
          <w:rFonts w:ascii="仿宋_GB2312" w:eastAsia="仿宋_GB2312" w:cs="仿宋_GB2312" w:hint="eastAsia"/>
          <w:b w:val="0"/>
          <w:color w:val="000000"/>
          <w:sz w:val="30"/>
          <w:szCs w:val="30"/>
        </w:rPr>
        <w:t>国有资本经营预算财政拨款支出决算表（此表无数据）</w:t>
      </w:r>
      <w:bookmarkEnd w:id="104"/>
    </w:p>
    <w:sectPr>
      <w:footerReference w:type="default" r:id="rId2"/>
      <w:pgSz w:w="11906" w:h="16838"/>
      <w:pgMar w:top="1440" w:right="1800" w:bottom="1440" w:left="1800"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script"/>
    <w:pitch w:val="variable"/>
    <w:sig w:usb0="A00002BF" w:usb1="184F6CFA" w:usb2="00000012" w:usb3="00000000" w:csb0="00040001" w:csb1="00000000"/>
  </w:font>
  <w:font w:name="方正小标宋_GBK">
    <w:panose1 w:val="03000509000000000000"/>
    <w:charset w:val="86"/>
    <w:family w:val="script"/>
    <w:pitch w:val="variable"/>
    <w:sig w:usb0="00000001" w:usb1="080E0000" w:usb2="00000000" w:usb3="00000000" w:csb0="00040000" w:csb1="00000000"/>
  </w:font>
  <w:font w:name="黑体">
    <w:panose1 w:val="02010600030101010101"/>
    <w:charset w:val="86"/>
    <w:family w:val="auto"/>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楷体">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EFF" w:usb1="C0007843" w:usb2="00000009" w:usb3="00000000" w:csb0="400001FF" w:csb1="FFFF0000"/>
  </w:font>
  <w:font w:name="楷体_GB2312">
    <w:panose1 w:val="02010609030101010101"/>
    <w:charset w:val="86"/>
    <w:family w:val="modern"/>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Cambria">
    <w:panose1 w:val="02040503050406030204"/>
    <w:charset w:val="00"/>
    <w:family w:val="roman"/>
    <w:pitch w:val="variable"/>
    <w:sig w:usb0="E00002FF" w:usb1="400004FF" w:usb2="00000000" w:usb3="00000000" w:csb0="2000019F" w:csb1="00000000"/>
  </w:font>
  <w:font w:name="Calibri">
    <w:panose1 w:val="020F0502020204030204"/>
    <w:charset w:val="00"/>
    <w:family w:val="swiss"/>
    <w:pitch w:val="variable"/>
    <w:sig w:usb0="E00002FF" w:usb1="4000ACFF" w:usb2="00000001" w:usb3="00000000" w:csb0="2000019F" w:csb1="00000000"/>
  </w:font>
  <w:font w:name="Verdana">
    <w:panose1 w:val="020B0604030504040204"/>
    <w:charset w:val="00"/>
    <w:family w:val="swiss"/>
    <w:pitch w:val="variable"/>
    <w:sig w:usb0="A10006FF" w:usb1="4000205B" w:usb2="00000010"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925672459"/>
    </w:sdtPr>
    <w:sdtContent>
      <w:p>
        <w:pPr>
          <w:pStyle w:val="18"/>
          <w:tabs>
            <w:tab w:val="center" w:pos="4153"/>
            <w:tab w:val="right" w:pos="8306"/>
          </w:tabs>
          <w:jc w:val="center"/>
        </w:pPr>
        <w:r>
          <w:fldChar w:fldCharType="begin"/>
        </w:r>
        <w:r>
          <w:instrText>PAGE   \* MERGEFORMAT</w:instrText>
        </w:r>
        <w:r>
          <w:fldChar w:fldCharType="separate"/>
        </w:r>
        <w:r>
          <w:rPr>
            <w:lang w:val="zh-CN"/>
          </w:rPr>
          <w:t>12</w:t>
        </w:r>
        <w:r>
          <w:rPr>
            <w:lang w:val="zh-CN"/>
          </w:rPr>
          <w:fldChar w:fldCharType="end"/>
        </w:r>
      </w:p>
    </w:sdtContent>
  </w:sdt>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CF652CEC"/>
    <w:multiLevelType w:val="singleLevel"/>
    <w:tmpl w:val="CF652CEC"/>
    <w:lvl w:ilvl="0">
      <w:start w:val="9"/>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4"/>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YjdmMDAwMjk5MzRjNzliNTBhZTI2ZTIyMjQyNGJhYz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sz w:val="28"/>
      <w:szCs w:val="28"/>
    </w:rPr>
  </w:style>
  <w:style w:type="paragraph" w:styleId="21">
    <w:name w:val="toc 2"/>
    <w:basedOn w:val="0"/>
    <w:next w:val="0"/>
    <w:pPr>
      <w:tabs>
        <w:tab w:val="right" w:leader="dot" w:pos="8296"/>
      </w:tabs>
      <w:ind w:leftChars="200" w:left="200"/>
    </w:pPr>
  </w:style>
  <w:style w:type="character" w:styleId="22">
    <w:name w:val="Strong"/>
    <w:basedOn w:val="10"/>
    <w:rPr>
      <w:b/>
    </w:rPr>
  </w:style>
  <w:style w:type="character" w:styleId="23">
    <w:name w:val="page number"/>
    <w:basedOn w:val="10"/>
  </w:style>
  <w:style w:type="character" w:styleId="24">
    <w:name w:val="Hyperlink"/>
    <w:basedOn w:val="10"/>
    <w:rPr>
      <w:color w:val="0000FF"/>
      <w:u w:val="single"/>
    </w:rPr>
  </w:style>
  <w:style w:type="character" w:customStyle="1" w:styleId="25">
    <w:name w:val="Header Char"/>
    <w:basedOn w:val="10"/>
    <w:rPr>
      <w:rFonts w:ascii="Times New Roman" w:hAnsi="Times New Roman"/>
      <w:sz w:val="18"/>
      <w:szCs w:val="18"/>
    </w:rPr>
  </w:style>
  <w:style w:type="character" w:customStyle="1" w:styleId="26">
    <w:name w:val="Footer Char"/>
    <w:basedOn w:val="10"/>
    <w:rPr>
      <w:rFonts w:ascii="Times New Roman" w:hAnsi="Times New Roman"/>
      <w:sz w:val="18"/>
      <w:szCs w:val="18"/>
    </w:rPr>
  </w:style>
  <w:style w:type="character" w:customStyle="1" w:styleId="27">
    <w:name w:val="Body Text Char"/>
    <w:basedOn w:val="10"/>
    <w:rPr>
      <w:rFonts w:ascii="Times New Roman" w:hAnsi="Times New Roman"/>
      <w:szCs w:val="24"/>
    </w:rPr>
  </w:style>
  <w:style w:type="paragraph" w:customStyle="1" w:styleId="28">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29">
    <w:name w:val="List Paragraph"/>
    <w:basedOn w:val="0"/>
    <w:pPr>
      <w:ind w:firstLineChars="200" w:firstLine="200"/>
    </w:pPr>
  </w:style>
  <w:style w:type="paragraph" w:customStyle="1" w:styleId="30">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1">
    <w:name w:val="Char Char"/>
    <w:basedOn w:val="0"/>
    <w:pPr>
      <w:widowControl/>
      <w:spacing w:after="160" w:line="240" w:lineRule="exact"/>
      <w:jc w:val="left"/>
    </w:pPr>
    <w:rPr>
      <w:szCs w:val="20"/>
    </w:rPr>
  </w:style>
  <w:style w:type="paragraph" w:customStyle="1" w:styleId="32">
    <w:name w:val="Char Char Char Char Char Char Char Char Char Char Char Char Char Char Char Char Char Char Char Char Char Char Char Char Char Char Char Char Char Char Char Char Char"/>
    <w:basedOn w:val="0"/>
    <w:pPr>
      <w:widowControl/>
      <w:spacing w:after="160" w:line="240" w:lineRule="exact"/>
      <w:jc w:val="left"/>
    </w:pPr>
    <w:rPr>
      <w:rFonts w:ascii="Verdana" w:eastAsia="仿宋_GB2312" w:hAnsi="Verdana"/>
      <w:kern w:val="0"/>
      <w:sz w:val="24"/>
      <w:szCs w:val="20"/>
    </w:rPr>
  </w:style>
  <w:style w:type="paragraph" w:customStyle="1" w:styleId="33">
    <w:name w:val="Char"/>
    <w:basedOn w:val="0"/>
    <w:pPr>
      <w:spacing w:line="240" w:lineRule="atLeast"/>
      <w:ind w:left="420" w:firstLine="420"/>
    </w:pPr>
    <w:rPr>
      <w:kern w:val="0"/>
      <w:szCs w:val="21"/>
    </w:rPr>
  </w:style>
  <w:style w:type="paragraph" w:customStyle="1" w:styleId="34">
    <w:name w:val="Char Char1"/>
    <w:basedOn w:val="0"/>
    <w:pPr>
      <w:widowControl/>
      <w:spacing w:after="160" w:line="240" w:lineRule="exact"/>
      <w:jc w:val="left"/>
    </w:pPr>
    <w:rPr>
      <w:szCs w:val="20"/>
    </w:rPr>
  </w:style>
  <w:style w:type="character" w:customStyle="1" w:styleId="35">
    <w:name w:val="font41"/>
    <w:basedOn w:val="10"/>
    <w:rPr>
      <w:rFonts w:ascii="Times New Roman" w:cs="Times New Roman" w:hAnsi="Times New Roman"/>
      <w:color w:val="000000"/>
      <w:sz w:val="24"/>
      <w:szCs w:val="24"/>
      <w:u w:val="none"/>
    </w:rPr>
  </w:style>
  <w:style w:type="character" w:customStyle="1" w:styleId="36">
    <w:name w:val="font51"/>
    <w:basedOn w:val="10"/>
    <w:rPr>
      <w:rFonts w:ascii="宋体" w:eastAsia="宋体" w:cs="宋体"/>
      <w:color w:val="000000"/>
      <w:sz w:val="24"/>
      <w:szCs w:val="24"/>
      <w:u w:val="none"/>
    </w:rPr>
  </w:style>
  <w:style w:type="character" w:customStyle="1" w:styleId="37">
    <w:name w:val="font61"/>
    <w:basedOn w:val="10"/>
    <w:rPr>
      <w:rFonts w:ascii="宋体" w:eastAsia="宋体" w:cs="宋体"/>
      <w:color w:val="000000"/>
      <w:sz w:val="20"/>
      <w:szCs w:val="20"/>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chart" Target="charts/chart1.xml"/><Relationship Id="rId4" Type="http://schemas.openxmlformats.org/officeDocument/2006/relationships/chart" Target="charts/chart2.xml"/><Relationship Id="rId5" Type="http://schemas.openxmlformats.org/officeDocument/2006/relationships/chart" Target="charts/chart3.xml"/><Relationship Id="rId6" Type="http://schemas.openxmlformats.org/officeDocument/2006/relationships/chart" Target="charts/chart4.xml"/><Relationship Id="rId7" Type="http://schemas.openxmlformats.org/officeDocument/2006/relationships/chart" Target="charts/chart5.xml"/><Relationship Id="rId8" Type="http://schemas.openxmlformats.org/officeDocument/2006/relationships/chart" Target="charts/chart6.xml"/><Relationship Id="rId9" Type="http://schemas.openxmlformats.org/officeDocument/2006/relationships/chart" Target="charts/chart7.xml"/><Relationship Id="rId10" Type="http://schemas.openxmlformats.org/officeDocument/2006/relationships/styles" Target="styles.xml"/><Relationship Id="rId11" Type="http://schemas.openxmlformats.org/officeDocument/2006/relationships/numbering" Target="numbering.xml"/><Relationship Id="rId1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08291"/>
          <c:y val="0.07840918"/>
          <c:w val="0.6597526"/>
          <c:h val="0.71486354"/>
        </c:manualLayout>
      </c:layout>
      <c:barChart>
        <c:barDir val="col"/>
        <c:grouping val="clustered"/>
        <c:varyColors val="0"/>
        <c:ser>
          <c:idx val="0"/>
          <c:order val="0"/>
          <c:tx>
            <c:strRef>
              <c:f>'Sheet1'!$A$2</c:f>
              <c:strCache>
                <c:ptCount val="1"/>
                <c:pt idx="0">
                  <c:v>2020年</c:v>
                </c:pt>
              </c:strCache>
            </c:strRef>
          </c:tx>
          <c:spPr>
            <a:solidFill>
              <a:srgbClr val="9999FF"/>
            </a:solidFill>
            <a:ln w="6350">
              <a:solidFill>
                <a:srgbClr val="000000"/>
              </a:solidFill>
              <a:prstDash val="solid"/>
            </a:ln>
          </c:spPr>
          <c:invertIfNegative val="0"/>
          <c:dLbls>
            <c:txPr>
              <a:bodyPr/>
              <a:lstStyle/>
              <a:p>
                <a:pPr>
                  <a:defRPr sz="1650" b="0" i="0" u="none" strike="noStrike" baseline="0">
                    <a:solidFill>
                      <a:srgbClr val="000000"/>
                    </a:solidFill>
                    <a:latin typeface="宋体"/>
                    <a:ea typeface="宋体"/>
                    <a:cs typeface="Lucida Sans"/>
                  </a:defRPr>
                </a:pPr>
                <a:endParaRPr lang="zh-CN"/>
              </a:p>
            </c:txPr>
            <c:numFmt formatCode="General" sourceLinked="1"/>
            <c:showLegendKey val="0"/>
            <c:showVal val="0"/>
            <c:showCatName val="0"/>
            <c:showSerName val="0"/>
            <c:showPercent val="0"/>
            <c:showBubbleSize val="0"/>
            <c:showLeaderLines val="0"/>
          </c:dLbls>
          <c:cat>
            <c:numRef>
              <c:f>'Sheet1'!$B$1</c:f>
              <c:numCache>
                <c:ptCount val="1"/>
              </c:numCache>
            </c:numRef>
          </c:cat>
          <c:val>
            <c:numRef>
              <c:f>Sheet1!$B$2</c:f>
              <c:numCache>
                <c:formatCode>General</c:formatCode>
                <c:ptCount val="1"/>
                <c:pt idx="0">
                  <c:v>805.92</c:v>
                </c:pt>
              </c:numCache>
            </c:numRef>
          </c:val>
        </c:ser>
        <c:ser>
          <c:idx val="1"/>
          <c:order val="1"/>
          <c:tx>
            <c:strRef>
              <c:f>'Sheet1'!$A$3</c:f>
              <c:strCache>
                <c:ptCount val="1"/>
                <c:pt idx="0">
                  <c:v>2021年</c:v>
                </c:pt>
              </c:strCache>
            </c:strRef>
          </c:tx>
          <c:spPr>
            <a:solidFill>
              <a:srgbClr val="993366"/>
            </a:solidFill>
            <a:ln w="6350">
              <a:solidFill>
                <a:srgbClr val="000000"/>
              </a:solidFill>
              <a:prstDash val="solid"/>
            </a:ln>
          </c:spPr>
          <c:invertIfNegative val="0"/>
          <c:dLbls>
            <c:txPr>
              <a:bodyPr/>
              <a:lstStyle/>
              <a:p>
                <a:pPr>
                  <a:defRPr sz="1650" b="0" i="0" u="none" strike="noStrike" baseline="0">
                    <a:solidFill>
                      <a:srgbClr val="000000"/>
                    </a:solidFill>
                    <a:latin typeface="宋体"/>
                    <a:ea typeface="宋体"/>
                    <a:cs typeface="Lucida Sans"/>
                  </a:defRPr>
                </a:pPr>
                <a:endParaRPr lang="zh-CN"/>
              </a:p>
            </c:txPr>
            <c:numFmt formatCode="General" sourceLinked="1"/>
            <c:showLegendKey val="0"/>
            <c:showVal val="0"/>
            <c:showCatName val="0"/>
            <c:showSerName val="0"/>
            <c:showPercent val="0"/>
            <c:showBubbleSize val="0"/>
            <c:showLeaderLines val="0"/>
          </c:dLbls>
          <c:cat>
            <c:numRef>
              <c:f>'Sheet1'!$B$1</c:f>
              <c:numCache>
                <c:ptCount val="1"/>
              </c:numCache>
            </c:numRef>
          </c:cat>
          <c:val>
            <c:numRef>
              <c:f>Sheet1!$B$3</c:f>
              <c:numCache>
                <c:formatCode>General</c:formatCode>
                <c:ptCount val="1"/>
                <c:pt idx="0">
                  <c:v>734.16</c:v>
                </c:pt>
              </c:numCache>
            </c:numRef>
          </c:val>
        </c:ser>
        <c:gapWidth val="150"/>
        <c:axId val="0"/>
        <c:axId val="1"/>
      </c:barChart>
      <c:catAx>
        <c:axId val="0"/>
        <c:scaling>
          <c:orientation val="minMax"/>
        </c:scaling>
        <c:delete val="0"/>
        <c:axPos val="b"/>
        <c:numFmt formatCode="General" sourceLinked="1"/>
        <c:majorTickMark val="in"/>
        <c:minorTickMark val="none"/>
        <c:tickLblPos val="nextTo"/>
        <c:spPr>
          <a:ln w="6350">
            <a:solidFill>
              <a:srgbClr val="000000"/>
            </a:solidFill>
            <a:prstDash val="solid"/>
          </a:ln>
        </c:spPr>
        <c:txPr>
          <a:bodyPr rot="0" vert="horz" anchor="t" anchorCtr="0"/>
          <a:lstStyle/>
          <a:p>
            <a:pPr>
              <a:defRPr sz="1650" b="0" i="0" u="none" strike="noStrike" baseline="0">
                <a:solidFill>
                  <a:srgbClr val="000000"/>
                </a:solidFill>
                <a:latin typeface="宋体"/>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000000"/>
              </a:solidFill>
              <a:prstDash val="solid"/>
            </a:ln>
          </c:spPr>
        </c:majorGridlines>
        <c:numFmt formatCode="General" sourceLinked="1"/>
        <c:majorTickMark val="in"/>
        <c:minorTickMark val="none"/>
        <c:tickLblPos val="nextTo"/>
        <c:spPr>
          <a:ln w="6350">
            <a:solidFill>
              <a:srgbClr val="000000"/>
            </a:solidFill>
            <a:prstDash val="solid"/>
          </a:ln>
        </c:spPr>
        <c:txPr>
          <a:bodyPr rot="0" vert="horz" anchor="t" anchorCtr="0"/>
          <a:lstStyle/>
          <a:p>
            <a:pPr>
              <a:defRPr sz="1650" b="0" i="0" u="none" strike="noStrike" baseline="0">
                <a:solidFill>
                  <a:srgbClr val="000000"/>
                </a:solidFill>
                <a:latin typeface="宋体"/>
                <a:ea typeface="宋体"/>
                <a:cs typeface="Lucida Sans"/>
              </a:defRPr>
            </a:pPr>
            <a:endParaRPr lang="zh-CN"/>
          </a:p>
        </c:txPr>
        <c:crossesAt val="1.0"/>
        <c:crossBetween val="between"/>
        <c:crossAx val="0"/>
      </c:valAx>
      <c:spPr>
        <a:solidFill>
          <a:srgbClr val="C0C0C0"/>
        </a:solidFill>
        <a:ln w="6350">
          <a:solidFill>
            <a:srgbClr val="808080"/>
          </a:solidFill>
          <a:prstDash val="solid"/>
        </a:ln>
      </c:spPr>
    </c:plotArea>
    <c:legend>
      <c:legendPos val="r"/>
      <c:layout>
        <c:manualLayout>
          <c:xMode val="edge"/>
          <c:yMode val="edge"/>
          <c:x val="0.8296289"/>
          <c:y val="0.44402993"/>
          <c:w val="0.1510574"/>
          <c:h val="0.1891892"/>
        </c:manualLayout>
      </c:layout>
      <c:overlay val="0"/>
      <c:spPr>
        <a:noFill/>
        <a:ln w="6350">
          <a:solidFill>
            <a:srgbClr val="000000"/>
          </a:solidFill>
          <a:prstDash val="solid"/>
        </a:ln>
      </c:spPr>
      <c:txPr>
        <a:bodyPr/>
        <a:lstStyle/>
        <a:p>
          <a:pPr>
            <a:defRPr sz="1200" b="0" i="0" u="none" strike="noStrike" baseline="0">
              <a:solidFill>
                <a:srgbClr val="000000"/>
              </a:solidFill>
              <a:latin typeface="宋体"/>
              <a:ea typeface="宋体"/>
              <a:cs typeface="Lucida Sans"/>
            </a:defRPr>
          </a:pPr>
          <a:endParaRPr lang="zh-CN"/>
        </a:p>
      </c:txPr>
    </c:legend>
    <c:plotVisOnly val="1"/>
    <c:dispBlanksAs val="gap"/>
    <c:showDLblsOverMax val="0"/>
  </c:chart>
  <c:spPr>
    <a:noFill/>
    <a:ln>
      <a:noFill/>
    </a:ln>
  </c:spPr>
  <c:txPr>
    <a:bodyPr/>
    <a:lstStyle/>
    <a:p>
      <a:pPr>
        <a:defRPr sz="165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09967"/>
          <c:y val="0.06790123"/>
          <c:w val="0.3873532"/>
          <c:h val="0.88230455"/>
        </c:manualLayout>
      </c:layout>
      <c:pieChart>
        <c:varyColors val="1"/>
        <c:ser>
          <c:idx val="0"/>
          <c:order val="0"/>
          <c:tx>
            <c:strRef>
              <c:f>'Sheet1 (2)'!$A$2</c:f>
              <c:strCache>
                <c:ptCount val="1"/>
                <c:pt idx="0">
                  <c:v>2021年</c:v>
                </c:pt>
              </c:strCache>
            </c:strRef>
          </c:tx>
          <c:spPr>
            <a:solidFill>
              <a:srgbClr val="9999FF"/>
            </a:solidFill>
            <a:ln w="6350">
              <a:solidFill>
                <a:srgbClr val="000000"/>
              </a:solidFill>
              <a:prstDash val="solid"/>
            </a:ln>
          </c:spPr>
          <c:dPt>
            <c:idx val="0"/>
            <c:bubble3D val="0"/>
            <c:spPr>
              <a:solidFill>
                <a:srgbClr val="9999FF"/>
              </a:solidFill>
              <a:ln w="6350">
                <a:solidFill>
                  <a:srgbClr val="000000"/>
                </a:solidFill>
                <a:prstDash val="solid"/>
              </a:ln>
            </c:spPr>
          </c:dPt>
          <c:dPt>
            <c:idx val="1"/>
            <c:bubble3D val="0"/>
            <c:spPr>
              <a:solidFill>
                <a:srgbClr val="993366"/>
              </a:solidFill>
              <a:ln w="6350">
                <a:solidFill>
                  <a:srgbClr val="000000"/>
                </a:solidFill>
                <a:prstDash val="solid"/>
              </a:ln>
            </c:spPr>
          </c:dPt>
          <c:dPt>
            <c:idx val="2"/>
            <c:bubble3D val="0"/>
            <c:spPr>
              <a:solidFill>
                <a:srgbClr val="FFFFFF"/>
              </a:solidFill>
              <a:ln w="6350">
                <a:solidFill>
                  <a:srgbClr val="000000"/>
                </a:solidFill>
                <a:prstDash val="solid"/>
              </a:ln>
            </c:spPr>
          </c:dPt>
          <c:dLbls>
            <c:txPr>
              <a:bodyPr/>
              <a:lstStyle/>
              <a:p>
                <a:pPr>
                  <a:defRPr sz="1150" b="0" i="0" u="none" strike="noStrike" baseline="0">
                    <a:solidFill>
                      <a:srgbClr val="000000"/>
                    </a:solidFill>
                    <a:latin typeface="宋体"/>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(2)'!$B$1:$D$1</c:f>
              <c:strCache>
                <c:ptCount val="3"/>
                <c:pt idx="0">
                  <c:v>一般公共预算财政拨款收入</c:v>
                </c:pt>
                <c:pt idx="1">
                  <c:v>政府性基金预算财政拨款收入</c:v>
                </c:pt>
                <c:pt idx="2">
                  <c:v>其他收入</c:v>
                </c:pt>
              </c:strCache>
            </c:strRef>
          </c:cat>
          <c:val>
            <c:numRef>
              <c:f>'Sheet1 (2)'!$B$2:$D$2</c:f>
              <c:numCache>
                <c:formatCode>General</c:formatCode>
                <c:ptCount val="3"/>
                <c:pt idx="0">
                  <c:v>725.52</c:v>
                </c:pt>
                <c:pt idx="1">
                  <c:v>5.0</c:v>
                </c:pt>
                <c:pt idx="2">
                  <c:v>0.02</c:v>
                </c:pt>
              </c:numCache>
            </c:numRef>
          </c:val>
        </c:ser>
        <c:firstSliceAng val="0"/>
      </c:pieChart>
      <c:spPr>
        <a:solidFill>
          <a:srgbClr val="C0C0C0"/>
        </a:solidFill>
        <a:ln w="6350">
          <a:solidFill>
            <a:srgbClr val="808080"/>
          </a:solidFill>
          <a:prstDash val="solid"/>
        </a:ln>
      </c:spPr>
    </c:plotArea>
    <c:legend>
      <c:legendPos val="r"/>
      <c:layout>
        <c:manualLayout>
          <c:xMode val="edge"/>
          <c:yMode val="edge"/>
          <c:x val="0.6513047"/>
          <c:y val="0.028342854"/>
          <c:w val="0.3237266"/>
          <c:h val="0.5357223"/>
        </c:manualLayout>
      </c:layout>
      <c:overlay val="0"/>
      <c:spPr>
        <a:noFill/>
        <a:ln w="6350">
          <a:solidFill>
            <a:srgbClr val="000000"/>
          </a:solidFill>
          <a:prstDash val="solid"/>
        </a:ln>
      </c:spPr>
      <c:txPr>
        <a:bodyPr/>
        <a:lstStyle/>
        <a:p>
          <a:pPr>
            <a:defRPr sz="1050" b="0" i="0" u="none" strike="noStrike" baseline="0">
              <a:solidFill>
                <a:srgbClr val="000000"/>
              </a:solidFill>
              <a:latin typeface="宋体"/>
              <a:ea typeface="宋体"/>
              <a:cs typeface="Lucida Sans"/>
            </a:defRPr>
          </a:pPr>
          <a:endParaRPr lang="zh-CN"/>
        </a:p>
      </c:txPr>
    </c:legend>
    <c:plotVisOnly val="1"/>
    <c:dispBlanksAs val="zero"/>
    <c:showDLblsOverMax val="0"/>
  </c:chart>
  <c:spPr>
    <a:noFill/>
    <a:ln>
      <a:noFill/>
    </a:ln>
  </c:spPr>
  <c:txPr>
    <a:bodyPr/>
    <a:lstStyle/>
    <a:p>
      <a:pPr>
        <a:defRPr sz="115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04247"/>
          <c:y val="0.09411765"/>
          <c:w val="0.3996139"/>
          <c:h val="0.8117647"/>
        </c:manualLayout>
      </c:layout>
      <c:pieChart>
        <c:varyColors val="1"/>
        <c:ser>
          <c:idx val="0"/>
          <c:order val="0"/>
          <c:tx>
            <c:strRef>
              <c:f>'Sheet1 (3)'!$A$2</c:f>
              <c:strCache>
                <c:ptCount val="1"/>
                <c:pt idx="0">
                  <c:v>2021年</c:v>
                </c:pt>
              </c:strCache>
            </c:strRef>
          </c:tx>
          <c:spPr>
            <a:solidFill>
              <a:srgbClr val="9999FF"/>
            </a:solidFill>
            <a:ln w="6350">
              <a:solidFill>
                <a:srgbClr val="000000"/>
              </a:solidFill>
              <a:prstDash val="solid"/>
            </a:ln>
          </c:spPr>
          <c:dPt>
            <c:idx val="0"/>
            <c:bubble3D val="0"/>
            <c:spPr>
              <a:solidFill>
                <a:srgbClr val="9999FF"/>
              </a:solidFill>
              <a:ln w="6350">
                <a:solidFill>
                  <a:srgbClr val="000000"/>
                </a:solidFill>
                <a:prstDash val="solid"/>
              </a:ln>
            </c:spPr>
          </c:dPt>
          <c:dPt>
            <c:idx val="1"/>
            <c:bubble3D val="0"/>
            <c:spPr>
              <a:solidFill>
                <a:srgbClr val="993366"/>
              </a:solidFill>
              <a:ln w="6350">
                <a:solidFill>
                  <a:srgbClr val="000000"/>
                </a:solidFill>
                <a:prstDash val="solid"/>
              </a:ln>
            </c:spPr>
          </c:dPt>
          <c:dLbls>
            <c:txPr>
              <a:bodyPr/>
              <a:lstStyle/>
              <a:p>
                <a:pPr>
                  <a:defRPr sz="1200" b="0" i="0" u="none" strike="noStrike" baseline="0">
                    <a:solidFill>
                      <a:srgbClr val="000000"/>
                    </a:solidFill>
                    <a:latin typeface="宋体"/>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(3)'!$B$1:$C$1</c:f>
              <c:strCache>
                <c:ptCount val="2"/>
                <c:pt idx="0">
                  <c:v>基本支出</c:v>
                </c:pt>
                <c:pt idx="1">
                  <c:v>项目支出</c:v>
                </c:pt>
              </c:strCache>
            </c:strRef>
          </c:cat>
          <c:val>
            <c:numRef>
              <c:f>'Sheet1 (3)'!$B$2:$C$2</c:f>
              <c:numCache>
                <c:formatCode>General</c:formatCode>
                <c:ptCount val="2"/>
                <c:pt idx="0">
                  <c:v>584.64</c:v>
                </c:pt>
                <c:pt idx="1">
                  <c:v>149.52</c:v>
                </c:pt>
              </c:numCache>
            </c:numRef>
          </c:val>
        </c:ser>
        <c:firstSliceAng val="0"/>
      </c:pieChart>
      <c:spPr>
        <a:solidFill>
          <a:srgbClr val="C0C0C0"/>
        </a:solidFill>
        <a:ln w="6350">
          <a:solidFill>
            <a:srgbClr val="808080"/>
          </a:solidFill>
          <a:prstDash val="solid"/>
        </a:ln>
      </c:spPr>
    </c:plotArea>
    <c:legend>
      <c:legendPos val="r"/>
      <c:layout>
        <c:manualLayout>
          <c:xMode val="edge"/>
          <c:yMode val="edge"/>
          <c:x val="0.82239383"/>
          <c:y val="0.41568628"/>
          <c:w val="0.16988418"/>
          <c:h val="0.16862746"/>
        </c:manualLayout>
      </c:layout>
      <c:overlay val="0"/>
      <c:spPr>
        <a:noFill/>
        <a:ln w="6350">
          <a:solidFill>
            <a:srgbClr val="000000"/>
          </a:solidFill>
          <a:prstDash val="solid"/>
        </a:ln>
      </c:spPr>
      <c:txPr>
        <a:bodyPr/>
        <a:lstStyle/>
        <a:p>
          <a:pPr>
            <a:defRPr sz="1100" b="0" i="0" u="none" strike="noStrike" baseline="0">
              <a:solidFill>
                <a:srgbClr val="000000"/>
              </a:solidFill>
              <a:latin typeface="宋体"/>
              <a:ea typeface="宋体"/>
              <a:cs typeface="Lucida Sans"/>
            </a:defRPr>
          </a:pPr>
          <a:endParaRPr lang="zh-CN"/>
        </a:p>
      </c:txPr>
    </c:legend>
    <c:plotVisOnly val="1"/>
    <c:dispBlanksAs val="zero"/>
    <c:showDLblsOverMax val="0"/>
  </c:chart>
  <c:spPr>
    <a:noFill/>
    <a:ln>
      <a:noFill/>
    </a:ln>
  </c:spPr>
  <c:txPr>
    <a:bodyPr/>
    <a:lstStyle/>
    <a:p>
      <a:pPr>
        <a:defRPr sz="120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01716"/>
          <c:y val="0.102829166"/>
          <c:w val="0.5730186"/>
          <c:h val="0.8048391"/>
        </c:manualLayout>
      </c:layout>
      <c:barChart>
        <c:barDir val="col"/>
        <c:grouping val="clustered"/>
        <c:varyColors val="0"/>
        <c:ser>
          <c:idx val="0"/>
          <c:order val="0"/>
          <c:tx>
            <c:strRef>
              <c:f>'Sheet1 (4)'!$A$2</c:f>
              <c:strCache>
                <c:ptCount val="1"/>
                <c:pt idx="0">
                  <c:v>2020年</c:v>
                </c:pt>
              </c:strCache>
            </c:strRef>
          </c:tx>
          <c:spPr>
            <a:solidFill>
              <a:srgbClr val="9999FF"/>
            </a:solidFill>
            <a:ln w="6350">
              <a:solidFill>
                <a:srgbClr val="000000"/>
              </a:solidFill>
              <a:prstDash val="solid"/>
            </a:ln>
          </c:spPr>
          <c:invertIfNegative val="0"/>
          <c:dLbls>
            <c:txPr>
              <a:bodyPr/>
              <a:lstStyle/>
              <a:p>
                <a:pPr>
                  <a:defRPr sz="1650" b="0" i="0" u="none" strike="noStrike" baseline="0">
                    <a:solidFill>
                      <a:srgbClr val="000000"/>
                    </a:solidFill>
                    <a:latin typeface="宋体"/>
                    <a:ea typeface="宋体"/>
                    <a:cs typeface="Lucida Sans"/>
                  </a:defRPr>
                </a:pPr>
                <a:endParaRPr lang="zh-CN"/>
              </a:p>
            </c:txPr>
            <c:numFmt formatCode="General" sourceLinked="1"/>
            <c:showLegendKey val="0"/>
            <c:showVal val="0"/>
            <c:showCatName val="0"/>
            <c:showSerName val="0"/>
            <c:showPercent val="0"/>
            <c:showBubbleSize val="0"/>
            <c:showLeaderLines val="0"/>
          </c:dLbls>
          <c:cat>
            <c:numRef>
              <c:f>'Sheet1 (4)'!$B$1</c:f>
              <c:numCache>
                <c:ptCount val="1"/>
              </c:numCache>
            </c:numRef>
          </c:cat>
          <c:val>
            <c:numRef>
              <c:f>Sheet1 (4)!$B$2</c:f>
              <c:numCache>
                <c:formatCode>General</c:formatCode>
                <c:ptCount val="1"/>
                <c:pt idx="0">
                  <c:v>804.92</c:v>
                </c:pt>
              </c:numCache>
            </c:numRef>
          </c:val>
        </c:ser>
        <c:ser>
          <c:idx val="1"/>
          <c:order val="1"/>
          <c:tx>
            <c:strRef>
              <c:f>'Sheet1 (4)'!$A$3</c:f>
              <c:strCache>
                <c:ptCount val="1"/>
                <c:pt idx="0">
                  <c:v>2021年</c:v>
                </c:pt>
              </c:strCache>
            </c:strRef>
          </c:tx>
          <c:spPr>
            <a:solidFill>
              <a:srgbClr val="993366"/>
            </a:solidFill>
            <a:ln w="6350">
              <a:solidFill>
                <a:srgbClr val="000000"/>
              </a:solidFill>
              <a:prstDash val="solid"/>
            </a:ln>
          </c:spPr>
          <c:invertIfNegative val="0"/>
          <c:dLbls>
            <c:txPr>
              <a:bodyPr/>
              <a:lstStyle/>
              <a:p>
                <a:pPr>
                  <a:defRPr sz="1650" b="0" i="0" u="none" strike="noStrike" baseline="0">
                    <a:solidFill>
                      <a:srgbClr val="000000"/>
                    </a:solidFill>
                    <a:latin typeface="宋体"/>
                    <a:ea typeface="宋体"/>
                    <a:cs typeface="Lucida Sans"/>
                  </a:defRPr>
                </a:pPr>
                <a:endParaRPr lang="zh-CN"/>
              </a:p>
            </c:txPr>
            <c:numFmt formatCode="General" sourceLinked="1"/>
            <c:showLegendKey val="0"/>
            <c:showVal val="0"/>
            <c:showCatName val="0"/>
            <c:showSerName val="0"/>
            <c:showPercent val="0"/>
            <c:showBubbleSize val="0"/>
            <c:showLeaderLines val="0"/>
          </c:dLbls>
          <c:cat>
            <c:numRef>
              <c:f>'Sheet1 (4)'!$B$1</c:f>
              <c:numCache>
                <c:ptCount val="1"/>
              </c:numCache>
            </c:numRef>
          </c:cat>
          <c:val>
            <c:numRef>
              <c:f>Sheet1 (4)!$B$3</c:f>
              <c:numCache>
                <c:formatCode>General</c:formatCode>
                <c:ptCount val="1"/>
                <c:pt idx="0">
                  <c:v>734.14</c:v>
                </c:pt>
              </c:numCache>
            </c:numRef>
          </c:val>
        </c:ser>
        <c:gapWidth val="150"/>
        <c:axId val="0"/>
        <c:axId val="1"/>
      </c:barChart>
      <c:catAx>
        <c:axId val="0"/>
        <c:scaling>
          <c:orientation val="minMax"/>
        </c:scaling>
        <c:delete val="0"/>
        <c:axPos val="b"/>
        <c:numFmt formatCode="General" sourceLinked="1"/>
        <c:majorTickMark val="in"/>
        <c:minorTickMark val="none"/>
        <c:tickLblPos val="nextTo"/>
        <c:spPr>
          <a:ln w="6350">
            <a:solidFill>
              <a:srgbClr val="000000"/>
            </a:solidFill>
            <a:prstDash val="solid"/>
          </a:ln>
        </c:spPr>
        <c:txPr>
          <a:bodyPr rot="0" vert="horz" anchor="t" anchorCtr="0"/>
          <a:lstStyle/>
          <a:p>
            <a:pPr>
              <a:defRPr sz="1650" b="0" i="0" u="none" strike="noStrike" baseline="0">
                <a:solidFill>
                  <a:srgbClr val="000000"/>
                </a:solidFill>
                <a:latin typeface="宋体"/>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000000"/>
              </a:solidFill>
              <a:prstDash val="solid"/>
            </a:ln>
          </c:spPr>
        </c:majorGridlines>
        <c:numFmt formatCode="General" sourceLinked="1"/>
        <c:majorTickMark val="in"/>
        <c:minorTickMark val="none"/>
        <c:tickLblPos val="nextTo"/>
        <c:spPr>
          <a:ln w="6350">
            <a:solidFill>
              <a:srgbClr val="000000"/>
            </a:solidFill>
            <a:prstDash val="solid"/>
          </a:ln>
        </c:spPr>
        <c:txPr>
          <a:bodyPr rot="0" vert="horz" anchor="t" anchorCtr="0"/>
          <a:lstStyle/>
          <a:p>
            <a:pPr>
              <a:defRPr sz="1650" b="0" i="0" u="none" strike="noStrike" baseline="0">
                <a:solidFill>
                  <a:srgbClr val="000000"/>
                </a:solidFill>
                <a:latin typeface="宋体"/>
                <a:ea typeface="宋体"/>
                <a:cs typeface="Lucida Sans"/>
              </a:defRPr>
            </a:pPr>
            <a:endParaRPr lang="zh-CN"/>
          </a:p>
        </c:txPr>
        <c:crossesAt val="1.0"/>
        <c:crossBetween val="between"/>
        <c:crossAx val="0"/>
      </c:valAx>
      <c:spPr>
        <a:solidFill>
          <a:srgbClr val="C0C0C0"/>
        </a:solidFill>
        <a:ln w="6350">
          <a:solidFill>
            <a:srgbClr val="808080"/>
          </a:solidFill>
          <a:prstDash val="solid"/>
        </a:ln>
      </c:spPr>
    </c:plotArea>
    <c:legend>
      <c:legendPos val="r"/>
      <c:layout>
        <c:manualLayout>
          <c:xMode val="edge"/>
          <c:yMode val="edge"/>
          <c:x val="0.77788585"/>
          <c:y val="0.1980011"/>
          <c:w val="0.2047486"/>
          <c:h val="0.39532948"/>
        </c:manualLayout>
      </c:layout>
      <c:overlay val="0"/>
      <c:spPr>
        <a:noFill/>
        <a:ln w="6350">
          <a:solidFill>
            <a:srgbClr val="000000"/>
          </a:solidFill>
          <a:prstDash val="solid"/>
        </a:ln>
      </c:spPr>
      <c:txPr>
        <a:bodyPr/>
        <a:lstStyle/>
        <a:p>
          <a:pPr>
            <a:defRPr sz="1500" b="0" i="0" u="none" strike="noStrike" baseline="0">
              <a:solidFill>
                <a:srgbClr val="000000"/>
              </a:solidFill>
              <a:latin typeface="宋体"/>
              <a:ea typeface="宋体"/>
              <a:cs typeface="Lucida Sans"/>
            </a:defRPr>
          </a:pPr>
          <a:endParaRPr lang="zh-CN"/>
        </a:p>
      </c:txPr>
    </c:legend>
    <c:plotVisOnly val="1"/>
    <c:dispBlanksAs val="gap"/>
    <c:showDLblsOverMax val="0"/>
  </c:chart>
  <c:spPr>
    <a:noFill/>
    <a:ln>
      <a:noFill/>
    </a:ln>
  </c:spPr>
  <c:txPr>
    <a:bodyPr/>
    <a:lstStyle/>
    <a:p>
      <a:pPr>
        <a:defRPr sz="165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34057"/>
          <c:y val="0.08391608"/>
          <c:w val="0.6154372"/>
          <c:h val="0.79330146"/>
        </c:manualLayout>
      </c:layout>
      <c:barChart>
        <c:barDir val="col"/>
        <c:grouping val="clustered"/>
        <c:varyColors val="0"/>
        <c:ser>
          <c:idx val="0"/>
          <c:order val="0"/>
          <c:tx>
            <c:strRef>
              <c:f>'Sheet1 (5)'!$A$2</c:f>
              <c:strCache>
                <c:ptCount val="1"/>
                <c:pt idx="0">
                  <c:v>2021年</c:v>
                </c:pt>
              </c:strCache>
            </c:strRef>
          </c:tx>
          <c:spPr>
            <a:solidFill>
              <a:srgbClr val="9999FF"/>
            </a:solidFill>
            <a:ln w="6350">
              <a:solidFill>
                <a:srgbClr val="000000"/>
              </a:solidFill>
              <a:prstDash val="solid"/>
            </a:ln>
          </c:spPr>
          <c:invertIfNegative val="0"/>
          <c:dLbls>
            <c:txPr>
              <a:bodyPr/>
              <a:lstStyle/>
              <a:p>
                <a:pPr>
                  <a:defRPr sz="1650" b="0" i="0" u="none" strike="noStrike" baseline="0">
                    <a:solidFill>
                      <a:srgbClr val="000000"/>
                    </a:solidFill>
                    <a:latin typeface="宋体"/>
                    <a:ea typeface="宋体"/>
                    <a:cs typeface="Lucida Sans"/>
                  </a:defRPr>
                </a:pPr>
                <a:endParaRPr lang="zh-CN"/>
              </a:p>
            </c:txPr>
            <c:numFmt formatCode="General" sourceLinked="1"/>
            <c:showLegendKey val="0"/>
            <c:showVal val="0"/>
            <c:showCatName val="0"/>
            <c:showSerName val="0"/>
            <c:showPercent val="0"/>
            <c:showBubbleSize val="0"/>
            <c:showLeaderLines val="0"/>
          </c:dLbls>
          <c:cat>
            <c:numRef>
              <c:f>'Sheet1 (5)'!$B$1</c:f>
              <c:numCache>
                <c:ptCount val="1"/>
              </c:numCache>
            </c:numRef>
          </c:cat>
          <c:val>
            <c:numRef>
              <c:f>Sheet1 (5)!$B$2</c:f>
              <c:numCache>
                <c:formatCode>General</c:formatCode>
                <c:ptCount val="1"/>
                <c:pt idx="0">
                  <c:v>729.14</c:v>
                </c:pt>
              </c:numCache>
            </c:numRef>
          </c:val>
        </c:ser>
        <c:ser>
          <c:idx val="1"/>
          <c:order val="1"/>
          <c:tx>
            <c:strRef>
              <c:f>'Sheet1 (5)'!$A$3</c:f>
              <c:strCache>
                <c:ptCount val="1"/>
                <c:pt idx="0">
                  <c:v>2020年</c:v>
                </c:pt>
              </c:strCache>
            </c:strRef>
          </c:tx>
          <c:spPr>
            <a:solidFill>
              <a:srgbClr val="993366"/>
            </a:solidFill>
            <a:ln w="6350">
              <a:solidFill>
                <a:srgbClr val="000000"/>
              </a:solidFill>
              <a:prstDash val="solid"/>
            </a:ln>
          </c:spPr>
          <c:invertIfNegative val="0"/>
          <c:dLbls>
            <c:txPr>
              <a:bodyPr/>
              <a:lstStyle/>
              <a:p>
                <a:pPr>
                  <a:defRPr sz="1650" b="0" i="0" u="none" strike="noStrike" baseline="0">
                    <a:solidFill>
                      <a:srgbClr val="000000"/>
                    </a:solidFill>
                    <a:latin typeface="宋体"/>
                    <a:ea typeface="宋体"/>
                    <a:cs typeface="Lucida Sans"/>
                  </a:defRPr>
                </a:pPr>
                <a:endParaRPr lang="zh-CN"/>
              </a:p>
            </c:txPr>
            <c:numFmt formatCode="General" sourceLinked="1"/>
            <c:showLegendKey val="0"/>
            <c:showVal val="0"/>
            <c:showCatName val="0"/>
            <c:showSerName val="0"/>
            <c:showPercent val="0"/>
            <c:showBubbleSize val="0"/>
            <c:showLeaderLines val="0"/>
          </c:dLbls>
          <c:cat>
            <c:numRef>
              <c:f>'Sheet1 (5)'!$B$1</c:f>
              <c:numCache>
                <c:ptCount val="1"/>
              </c:numCache>
            </c:numRef>
          </c:cat>
          <c:val>
            <c:numRef>
              <c:f>Sheet1 (5)!$B$3</c:f>
              <c:numCache>
                <c:formatCode>General</c:formatCode>
                <c:ptCount val="1"/>
                <c:pt idx="0">
                  <c:v>698.3</c:v>
                </c:pt>
              </c:numCache>
            </c:numRef>
          </c:val>
        </c:ser>
        <c:gapWidth val="150"/>
        <c:axId val="0"/>
        <c:axId val="1"/>
      </c:barChart>
      <c:catAx>
        <c:axId val="0"/>
        <c:scaling>
          <c:orientation val="minMax"/>
        </c:scaling>
        <c:delete val="0"/>
        <c:axPos val="b"/>
        <c:numFmt formatCode="General" sourceLinked="1"/>
        <c:majorTickMark val="in"/>
        <c:minorTickMark val="none"/>
        <c:tickLblPos val="nextTo"/>
        <c:spPr>
          <a:ln w="6350">
            <a:solidFill>
              <a:srgbClr val="000000"/>
            </a:solidFill>
            <a:prstDash val="solid"/>
          </a:ln>
        </c:spPr>
        <c:txPr>
          <a:bodyPr rot="0" vert="horz" anchor="t" anchorCtr="0"/>
          <a:lstStyle/>
          <a:p>
            <a:pPr>
              <a:defRPr sz="1650" b="0" i="0" u="none" strike="noStrike" baseline="0">
                <a:solidFill>
                  <a:srgbClr val="000000"/>
                </a:solidFill>
                <a:latin typeface="宋体"/>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000000"/>
              </a:solidFill>
              <a:prstDash val="solid"/>
            </a:ln>
          </c:spPr>
        </c:majorGridlines>
        <c:numFmt formatCode="General" sourceLinked="1"/>
        <c:majorTickMark val="in"/>
        <c:minorTickMark val="none"/>
        <c:tickLblPos val="nextTo"/>
        <c:spPr>
          <a:ln w="6350">
            <a:solidFill>
              <a:srgbClr val="000000"/>
            </a:solidFill>
            <a:prstDash val="solid"/>
          </a:ln>
        </c:spPr>
        <c:txPr>
          <a:bodyPr rot="0" vert="horz" anchor="t" anchorCtr="0"/>
          <a:lstStyle/>
          <a:p>
            <a:pPr>
              <a:defRPr sz="1650" b="0" i="0" u="none" strike="noStrike" baseline="0">
                <a:solidFill>
                  <a:srgbClr val="000000"/>
                </a:solidFill>
                <a:latin typeface="宋体"/>
                <a:ea typeface="宋体"/>
                <a:cs typeface="Lucida Sans"/>
              </a:defRPr>
            </a:pPr>
            <a:endParaRPr lang="zh-CN"/>
          </a:p>
        </c:txPr>
        <c:crossesAt val="1.0"/>
        <c:crossBetween val="between"/>
        <c:crossAx val="0"/>
      </c:valAx>
      <c:spPr>
        <a:solidFill>
          <a:srgbClr val="C0C0C0"/>
        </a:solidFill>
        <a:ln w="6350">
          <a:solidFill>
            <a:srgbClr val="808080"/>
          </a:solidFill>
          <a:prstDash val="solid"/>
        </a:ln>
      </c:spPr>
    </c:plotArea>
    <c:legend>
      <c:legendPos val="r"/>
      <c:layout>
        <c:manualLayout>
          <c:xMode val="edge"/>
          <c:yMode val="edge"/>
          <c:x val="0.8200111"/>
          <c:y val="0.25708067"/>
          <c:w val="0.1681828"/>
          <c:h val="0.2035881"/>
        </c:manualLayout>
      </c:layout>
      <c:overlay val="0"/>
      <c:spPr>
        <a:noFill/>
        <a:ln w="6350">
          <a:solidFill>
            <a:srgbClr val="000000"/>
          </a:solidFill>
          <a:prstDash val="solid"/>
        </a:ln>
      </c:spPr>
      <c:txPr>
        <a:bodyPr/>
        <a:lstStyle/>
        <a:p>
          <a:pPr>
            <a:defRPr sz="1500" b="0" i="0" u="none" strike="noStrike" baseline="0">
              <a:solidFill>
                <a:srgbClr val="000000"/>
              </a:solidFill>
              <a:latin typeface="宋体"/>
              <a:ea typeface="宋体"/>
              <a:cs typeface="Lucida Sans"/>
            </a:defRPr>
          </a:pPr>
          <a:endParaRPr lang="zh-CN"/>
        </a:p>
      </c:txPr>
    </c:legend>
    <c:plotVisOnly val="1"/>
    <c:dispBlanksAs val="gap"/>
    <c:showDLblsOverMax val="0"/>
  </c:chart>
  <c:spPr>
    <a:noFill/>
    <a:ln>
      <a:noFill/>
    </a:ln>
  </c:spPr>
  <c:txPr>
    <a:bodyPr/>
    <a:lstStyle/>
    <a:p>
      <a:pPr>
        <a:defRPr sz="165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940424"/>
          <c:y val="0.03788546"/>
          <c:w val="0.26467067"/>
          <c:h val="0.87621146"/>
        </c:manualLayout>
      </c:layout>
      <c:pieChart>
        <c:varyColors val="1"/>
        <c:ser>
          <c:idx val="0"/>
          <c:order val="0"/>
          <c:tx>
            <c:strRef>
              <c:f>'Sheet1 (6)'!$A$2</c:f>
              <c:strCache>
                <c:ptCount val="1"/>
                <c:pt idx="0">
                  <c:v>2021年</c:v>
                </c:pt>
              </c:strCache>
            </c:strRef>
          </c:tx>
          <c:spPr>
            <a:solidFill>
              <a:srgbClr val="9999FF"/>
            </a:solidFill>
            <a:ln w="6350">
              <a:solidFill>
                <a:srgbClr val="000000"/>
              </a:solidFill>
              <a:prstDash val="solid"/>
            </a:ln>
          </c:spPr>
          <c:dPt>
            <c:idx val="0"/>
            <c:bubble3D val="0"/>
            <c:spPr>
              <a:solidFill>
                <a:srgbClr val="9999FF"/>
              </a:solidFill>
              <a:ln w="6350">
                <a:solidFill>
                  <a:srgbClr val="000000"/>
                </a:solidFill>
                <a:prstDash val="solid"/>
              </a:ln>
            </c:spPr>
          </c:dPt>
          <c:dPt>
            <c:idx val="1"/>
            <c:bubble3D val="0"/>
            <c:spPr>
              <a:solidFill>
                <a:srgbClr val="002060"/>
              </a:solidFill>
              <a:ln w="6350">
                <a:solidFill>
                  <a:srgbClr val="000000"/>
                </a:solidFill>
                <a:prstDash val="solid"/>
              </a:ln>
            </c:spPr>
          </c:dPt>
          <c:dPt>
            <c:idx val="2"/>
            <c:bubble3D val="0"/>
            <c:spPr>
              <a:solidFill>
                <a:srgbClr val="FFFFCC"/>
              </a:solidFill>
              <a:ln w="6350">
                <a:solidFill>
                  <a:srgbClr val="000000"/>
                </a:solidFill>
                <a:prstDash val="solid"/>
              </a:ln>
            </c:spPr>
          </c:dPt>
          <c:dPt>
            <c:idx val="3"/>
            <c:bubble3D val="0"/>
            <c:spPr>
              <a:solidFill>
                <a:srgbClr val="953735"/>
              </a:solidFill>
              <a:ln w="6350">
                <a:solidFill>
                  <a:srgbClr val="000000"/>
                </a:solidFill>
                <a:prstDash val="solid"/>
              </a:ln>
            </c:spPr>
          </c:dPt>
          <c:dLbls>
            <c:txPr>
              <a:bodyPr/>
              <a:lstStyle/>
              <a:p>
                <a:pPr>
                  <a:defRPr sz="800" b="0" i="0" u="none" strike="noStrike" baseline="0">
                    <a:solidFill>
                      <a:srgbClr val="000000"/>
                    </a:solidFill>
                    <a:latin typeface="宋体"/>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(6)'!$B$1:$E$1</c:f>
              <c:strCache>
                <c:ptCount val="4"/>
                <c:pt idx="0">
                  <c:v>一般公共服务支出</c:v>
                </c:pt>
                <c:pt idx="1">
                  <c:v>社会保障和就业支出</c:v>
                </c:pt>
                <c:pt idx="2">
                  <c:v>农林水支出</c:v>
                </c:pt>
                <c:pt idx="3">
                  <c:v>住房保障支出</c:v>
                </c:pt>
              </c:strCache>
            </c:strRef>
          </c:cat>
          <c:val>
            <c:numRef>
              <c:f>'Sheet1 (6)'!$B$2:$E$2</c:f>
              <c:numCache>
                <c:formatCode>General</c:formatCode>
                <c:ptCount val="4"/>
                <c:pt idx="0">
                  <c:v>534.17</c:v>
                </c:pt>
                <c:pt idx="1">
                  <c:v>73.76</c:v>
                </c:pt>
                <c:pt idx="2">
                  <c:v>83.72</c:v>
                </c:pt>
                <c:pt idx="3">
                  <c:v>37.49</c:v>
                </c:pt>
              </c:numCache>
            </c:numRef>
          </c:val>
        </c:ser>
        <c:firstSliceAng val="0"/>
      </c:pieChart>
      <c:spPr>
        <a:solidFill>
          <a:srgbClr val="C0C0C0"/>
        </a:solidFill>
        <a:ln w="6350">
          <a:solidFill>
            <a:srgbClr val="808080"/>
          </a:solidFill>
          <a:prstDash val="solid"/>
        </a:ln>
      </c:spPr>
    </c:plotArea>
    <c:legend>
      <c:legendPos val="r"/>
      <c:layout>
        <c:manualLayout>
          <c:xMode val="edge"/>
          <c:yMode val="edge"/>
          <c:x val="0.6772815"/>
          <c:y val="0.21135542"/>
          <c:w val="0.2710952"/>
          <c:h val="0.6037526"/>
        </c:manualLayout>
      </c:layout>
      <c:overlay val="0"/>
      <c:spPr>
        <a:noFill/>
        <a:ln w="6350">
          <a:solidFill>
            <a:srgbClr val="000000"/>
          </a:solidFill>
          <a:prstDash val="solid"/>
        </a:ln>
      </c:spPr>
      <c:txPr>
        <a:bodyPr/>
        <a:lstStyle/>
        <a:p>
          <a:pPr>
            <a:defRPr sz="750" b="0" i="0" u="none" strike="noStrike" baseline="0">
              <a:solidFill>
                <a:srgbClr val="000000"/>
              </a:solidFill>
              <a:latin typeface="宋体"/>
              <a:ea typeface="宋体"/>
              <a:cs typeface="Lucida Sans"/>
            </a:defRPr>
          </a:pPr>
          <a:endParaRPr lang="zh-CN"/>
        </a:p>
      </c:txPr>
    </c:legend>
    <c:plotVisOnly val="1"/>
    <c:dispBlanksAs val="zero"/>
    <c:showDLblsOverMax val="0"/>
  </c:chart>
  <c:spPr>
    <a:noFill/>
    <a:ln>
      <a:noFill/>
    </a:ln>
  </c:spPr>
  <c:txPr>
    <a:bodyPr/>
    <a:lstStyle/>
    <a:p>
      <a:pPr>
        <a:defRPr sz="80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521095"/>
          <c:y val="0.12885693"/>
          <c:w val="0.20421906"/>
          <c:h val="0.5272234"/>
        </c:manualLayout>
      </c:layout>
      <c:pieChart>
        <c:varyColors val="1"/>
        <c:ser>
          <c:idx val="0"/>
          <c:order val="0"/>
          <c:tx>
            <c:strRef>
              <c:f>'Sheet1 (7)'!$A$2</c:f>
              <c:strCache>
                <c:ptCount val="1"/>
                <c:pt idx="0">
                  <c:v/>
                </c:pt>
              </c:strCache>
            </c:strRef>
          </c:tx>
          <c:spPr>
            <a:solidFill>
              <a:srgbClr val="9999FF"/>
            </a:solidFill>
            <a:ln w="6350">
              <a:solidFill>
                <a:srgbClr val="000000"/>
              </a:solidFill>
              <a:prstDash val="solid"/>
            </a:ln>
          </c:spPr>
          <c:dPt>
            <c:idx val="0"/>
            <c:bubble3D val="0"/>
            <c:spPr>
              <a:solidFill>
                <a:srgbClr val="9999FF"/>
              </a:solidFill>
              <a:ln w="6350">
                <a:solidFill>
                  <a:srgbClr val="000000"/>
                </a:solidFill>
                <a:prstDash val="solid"/>
              </a:ln>
            </c:spPr>
          </c:dPt>
          <c:dPt>
            <c:idx val="1"/>
            <c:bubble3D val="0"/>
            <c:spPr>
              <a:solidFill>
                <a:srgbClr val="993366"/>
              </a:solidFill>
              <a:ln w="6350">
                <a:solidFill>
                  <a:srgbClr val="000000"/>
                </a:solidFill>
                <a:prstDash val="solid"/>
              </a:ln>
            </c:spPr>
          </c:dPt>
          <c:dLbls>
            <c:txPr>
              <a:bodyPr/>
              <a:lstStyle/>
              <a:p>
                <a:pPr>
                  <a:defRPr sz="900" b="0" i="0" u="none" strike="noStrike" baseline="0">
                    <a:solidFill>
                      <a:srgbClr val="000000"/>
                    </a:solidFill>
                    <a:latin typeface="宋体"/>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(7)'!$B$1:$C$1</c:f>
              <c:strCache>
                <c:ptCount val="2"/>
                <c:pt idx="0">
                  <c:v>公务用车购置及运行维护费</c:v>
                </c:pt>
                <c:pt idx="1">
                  <c:v>公务接待费</c:v>
                </c:pt>
              </c:strCache>
            </c:strRef>
          </c:cat>
          <c:val>
            <c:numRef>
              <c:f>'Sheet1 (7)'!$B$2:$C$2</c:f>
              <c:numCache>
                <c:formatCode>General</c:formatCode>
                <c:ptCount val="2"/>
                <c:pt idx="0">
                  <c:v>5.96</c:v>
                </c:pt>
                <c:pt idx="1">
                  <c:v>1.14</c:v>
                </c:pt>
              </c:numCache>
            </c:numRef>
          </c:val>
        </c:ser>
        <c:firstSliceAng val="0"/>
      </c:pieChart>
      <c:spPr>
        <a:solidFill>
          <a:srgbClr val="C0C0C0"/>
        </a:solidFill>
        <a:ln w="6350">
          <a:solidFill>
            <a:srgbClr val="808080"/>
          </a:solidFill>
          <a:prstDash val="solid"/>
        </a:ln>
      </c:spPr>
    </c:plotArea>
    <c:legend>
      <c:legendPos val="r"/>
      <c:layout>
        <c:manualLayout>
          <c:xMode val="edge"/>
          <c:yMode val="edge"/>
          <c:x val="0.6177614"/>
          <c:y val="0.17006315"/>
          <c:w val="0.346605"/>
          <c:h val="0.36177817"/>
        </c:manualLayout>
      </c:layout>
      <c:overlay val="0"/>
      <c:spPr>
        <a:noFill/>
        <a:ln w="6350">
          <a:solidFill>
            <a:srgbClr val="000000"/>
          </a:solidFill>
          <a:prstDash val="solid"/>
        </a:ln>
      </c:spPr>
      <c:txPr>
        <a:bodyPr/>
        <a:lstStyle/>
        <a:p>
          <a:pPr>
            <a:defRPr sz="850" b="0" i="0" u="none" strike="noStrike" baseline="0">
              <a:solidFill>
                <a:srgbClr val="000000"/>
              </a:solidFill>
              <a:latin typeface="宋体"/>
              <a:ea typeface="宋体"/>
              <a:cs typeface="Lucida Sans"/>
            </a:defRPr>
          </a:pPr>
          <a:endParaRPr lang="zh-CN"/>
        </a:p>
      </c:txPr>
    </c:legend>
    <c:plotVisOnly val="1"/>
    <c:dispBlanksAs val="zero"/>
    <c:showDLblsOverMax val="0"/>
  </c:chart>
  <c:spPr>
    <a:noFill/>
    <a:ln>
      <a:noFill/>
    </a:ln>
  </c:spPr>
  <c:txPr>
    <a:bodyPr/>
    <a:lstStyle/>
    <a:p>
      <a:pPr>
        <a:defRPr sz="90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0</TotalTime>
  <Application>Yozo_Office27021597764231179</Application>
  <Pages>80</Pages>
  <Words>32734</Words>
  <Characters>34432</Characters>
  <Lines>2142</Lines>
  <Paragraphs>931</Paragraphs>
  <CharactersWithSpaces>34649</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张彬茜</dc:creator>
  <cp:lastModifiedBy>user</cp:lastModifiedBy>
  <cp:revision>5</cp:revision>
  <cp:lastPrinted>2021-07-20T23:17:00Z</cp:lastPrinted>
  <dcterms:created xsi:type="dcterms:W3CDTF">2023-10-11T08:45:00Z</dcterms:created>
  <dcterms:modified xsi:type="dcterms:W3CDTF">2024-12-19T08:33:41Z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2052-10.1.0.7698</vt:lpwstr>
  </property>
  <property fmtid="{D5CDD505-2E9C-101B-9397-08002B2CF9AE}" pid="3" name="ICV">
    <vt:lpwstr>2594D0E311544B17ABD314020BD8F54D_13</vt:lpwstr>
  </property>
</Properties>
</file>