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int="eastAsia"/>
          <w:sz w:val="72"/>
          <w:szCs w:val="72"/>
        </w:rPr>
      </w:pPr>
      <w:bookmarkStart w:id="0" w:name="_Toc15377193"/>
      <w:bookmarkStart w:id="1" w:name="_Toc15396597"/>
      <w:bookmarkStart w:id="2" w:name="_Toc15378441"/>
      <w:bookmarkStart w:id="3" w:name="_Toc15396475"/>
      <w:bookmarkStart w:id="4" w:name="_Toc15377425"/>
      <w:bookmarkStart w:id="5" w:name="_Toc15306267"/>
    </w:p>
    <w:p>
      <w:pPr>
        <w:spacing w:line="600" w:lineRule="exact"/>
        <w:jc w:val="center"/>
        <w:outlineLvl w:val="0"/>
        <w:rPr>
          <w:rFonts w:ascii="方正小标宋简体" w:eastAsia="方正小标宋简体" w:hint="eastAsia"/>
          <w:sz w:val="72"/>
          <w:szCs w:val="72"/>
        </w:rPr>
      </w:pPr>
    </w:p>
    <w:p>
      <w:pPr>
        <w:spacing w:line="600" w:lineRule="exact"/>
        <w:jc w:val="center"/>
        <w:outlineLvl w:val="0"/>
        <w:rPr>
          <w:rFonts w:ascii="方正小标宋简体" w:eastAsia="方正小标宋简体" w:hint="eastAsia"/>
          <w:sz w:val="72"/>
          <w:szCs w:val="72"/>
        </w:rPr>
      </w:pPr>
    </w:p>
    <w:p>
      <w:pPr>
        <w:widowControl/>
        <w:jc w:val="center"/>
        <w:rPr>
          <w:rFonts w:ascii="方正小标宋_GBK" w:eastAsia="方正小标宋_GBK" w:cs="方正小标宋_GBK"/>
          <w:color w:val="000000"/>
          <w:sz w:val="72"/>
          <w:szCs w:val="72"/>
        </w:rPr>
      </w:pPr>
      <w:r>
        <w:rPr>
          <w:rFonts w:ascii="方正小标宋_GBK" w:eastAsia="方正小标宋_GBK" w:cs="方正小标宋_GBK" w:hint="eastAsia"/>
          <w:color w:val="000000"/>
          <w:sz w:val="72"/>
          <w:szCs w:val="72"/>
        </w:rPr>
        <w:t>2023年度</w:t>
      </w:r>
      <w:bookmarkStart w:id="6" w:name="_Toc15378442"/>
      <w:bookmarkStart w:id="7" w:name="_Toc77628613"/>
      <w:bookmarkStart w:id="8" w:name="_Toc15396476"/>
      <w:bookmarkStart w:id="9" w:name="_Toc15377426"/>
      <w:bookmarkStart w:id="10" w:name="_Toc77627329"/>
      <w:bookmarkStart w:id="11" w:name="_Toc15377194"/>
      <w:bookmarkStart w:id="12" w:name="_Toc15396598"/>
      <w:bookmarkStart w:id="13" w:name="_Toc77628794"/>
      <w:bookmarkEnd w:id="0"/>
      <w:bookmarkEnd w:id="1"/>
      <w:bookmarkEnd w:id="2"/>
      <w:bookmarkEnd w:id="3"/>
      <w:bookmarkEnd w:id="4"/>
      <w:bookmarkEnd w:id="5"/>
    </w:p>
    <w:p>
      <w:pPr>
        <w:widowControl/>
        <w:jc w:val="center"/>
        <w:rPr>
          <w:rFonts w:ascii="方正小标宋_GBK" w:eastAsia="方正小标宋_GBK" w:cs="方正小标宋_GBK"/>
          <w:color w:val="000000"/>
          <w:sz w:val="72"/>
          <w:szCs w:val="72"/>
        </w:rPr>
      </w:pPr>
      <w:r>
        <w:rPr>
          <w:rFonts w:ascii="方正小标宋_GBK" w:eastAsia="方正小标宋_GBK" w:cs="方正小标宋_GBK" w:hint="eastAsia"/>
          <w:color w:val="000000"/>
          <w:sz w:val="72"/>
          <w:szCs w:val="72"/>
        </w:rPr>
        <w:t>四川省</w:t>
      </w:r>
      <w:bookmarkStart w:id="14" w:name="_Toc15306268"/>
      <w:r>
        <w:rPr>
          <w:rFonts w:ascii="方正小标宋_GBK" w:eastAsia="方正小标宋_GBK" w:cs="方正小标宋_GBK" w:hint="eastAsia"/>
          <w:color w:val="000000"/>
          <w:sz w:val="72"/>
          <w:szCs w:val="72"/>
        </w:rPr>
        <w:t>攀枝花市民族宗教事务委员会单位决算</w:t>
      </w:r>
      <w:bookmarkStart w:id="15" w:name="_GoBack"/>
      <w:bookmarkEnd w:id="6"/>
      <w:bookmarkEnd w:id="7"/>
      <w:bookmarkEnd w:id="8"/>
      <w:bookmarkEnd w:id="9"/>
      <w:bookmarkEnd w:id="10"/>
      <w:bookmarkEnd w:id="11"/>
      <w:bookmarkEnd w:id="12"/>
      <w:bookmarkEnd w:id="13"/>
      <w:bookmarkEnd w:id="14"/>
      <w:bookmarkEnd w:id="15"/>
    </w:p>
    <w:p>
      <w:pPr>
        <w:widowControl/>
        <w:jc w:val="center"/>
        <w:rPr>
          <w:rFonts w:ascii="黑体" w:eastAsia="黑体" w:hint="eastAsia"/>
          <w:sz w:val="48"/>
          <w:szCs w:val="48"/>
        </w:rPr>
      </w:pPr>
      <w:r>
        <w:rPr>
          <w:rFonts w:ascii="方正小标宋简体" w:eastAsia="方正小标宋简体"/>
          <w:sz w:val="36"/>
          <w:szCs w:val="36"/>
        </w:rPr>
        <w:br w:type="page"/>
      </w:r>
    </w:p>
    <w:sdt>
      <w:sdtPr>
        <w:rPr>
          <w:rFonts w:ascii="宋体"/>
        </w:rPr>
        <w:id w:val="1516564810"/>
        <w:docPartObj>
          <w:docPartGallery w:val="Table of Contents"/>
          <w:docPartUnique/>
        </w:docPartObj>
      </w:sdtPr>
      <w:sdtEndPr>
        <w:rPr>
          <w:rFonts w:ascii="仿宋" w:eastAsia="仿宋"/>
          <w:bCs/>
          <w:kern w:val="44"/>
        </w:rPr>
      </w:sdtEndPr>
      <w:sdtContent>
        <w:bookmarkStart w:id="16" w:name="_Toc15396599" w:displacedByCustomXml="prev"/>
        <w:bookmarkStart w:id="17" w:name="_Toc15377196" w:displacedByCustomXml="prev"/>
        <w:p>
          <w:pPr>
            <w:jc w:val="center"/>
            <w:rPr>
              <w:rFonts w:ascii="宋体" w:hint="eastAsia"/>
              <w:b/>
              <w:bCs/>
              <w:sz w:val="36"/>
              <w:szCs w:val="44"/>
            </w:rPr>
          </w:pPr>
          <w:r>
            <w:rPr>
              <w:rFonts w:ascii="宋体"/>
              <w:b/>
              <w:bCs/>
              <w:sz w:val="36"/>
              <w:szCs w:val="44"/>
            </w:rPr>
            <w:t>目录</w:t>
          </w:r>
        </w:p>
        <w:p>
          <w:pPr>
            <w:pStyle w:val="23"/>
            <w:tabs>
              <w:tab w:val="right" w:leader="dot" w:pos="8296"/>
            </w:tabs>
            <w:rPr>
              <w:rFonts w:hint="eastAsia"/>
            </w:rPr>
          </w:pPr>
          <w:r>
            <w:rPr>
              <w:rFonts w:hint="eastAsia"/>
            </w:rPr>
            <w:t>公开时间：2024年9月</w:t>
          </w:r>
          <w:r>
            <w:rPr>
              <w:rFonts w:hint="eastAsia"/>
              <w:lang w:val="en-US" w:eastAsia="zh-CN"/>
            </w:rPr>
            <w:t>20</w:t>
          </w:r>
          <w:r>
            <w:rPr>
              <w:rFonts w:hint="eastAsia"/>
            </w:rPr>
            <w:t>日</w:t>
          </w:r>
        </w:p>
        <w:p>
          <w:pPr>
            <w:pStyle w:val="23"/>
            <w:tabs>
              <w:tab w:val="right" w:leader="dot" w:pos="8296"/>
            </w:tabs>
            <w:rPr>
              <w:rFonts w:ascii="Calibri" w:eastAsia="宋体" w:cs="Arial" w:hAnsi="Calibri"/>
              <w:sz w:val="21"/>
              <w:szCs w:val="22"/>
            </w:rPr>
          </w:pPr>
          <w:r>
            <w:rPr>
              <w:bCs/>
              <w:kern w:val="44"/>
              <w:sz w:val="24"/>
            </w:rPr>
            <w:fldChar w:fldCharType="begin"/>
          </w:r>
          <w:r>
            <w:rPr>
              <w:bCs/>
              <w:kern w:val="44"/>
              <w:sz w:val="24"/>
            </w:rPr>
            <w:instrText xml:space="preserve">TOC \o "1-3" \h \u </w:instrText>
          </w:r>
          <w:r>
            <w:rPr>
              <w:bCs/>
              <w:kern w:val="44"/>
              <w:sz w:val="24"/>
            </w:rPr>
            <w:fldChar w:fldCharType="separate"/>
          </w:r>
          <w:r>
            <w:fldChar w:fldCharType="begin"/>
          </w:r>
          <w:r>
            <w:instrText xml:space="preserve"> HYPERLINK \l "_Toc176901955" </w:instrText>
          </w:r>
          <w:r>
            <w:fldChar w:fldCharType="separate"/>
          </w:r>
          <w:r>
            <w:rPr>
              <w:rFonts w:ascii="黑体" w:eastAsia="黑体" w:hint="eastAsia"/>
            </w:rPr>
            <w:t>第一部分 单位概况</w:t>
          </w:r>
          <w:r>
            <w:rPr>
              <w:rFonts w:hint="eastAsia"/>
            </w:rPr>
            <w:tab/>
          </w:r>
          <w:r>
            <w:fldChar w:fldCharType="begin"/>
          </w:r>
          <w:r>
            <w:rPr>
              <w:rFonts w:hint="eastAsia"/>
            </w:rPr>
            <w:instrText xml:space="preserve"> </w:instrText>
          </w:r>
          <w:r>
            <w:instrText>PAGEREF _Toc176901955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"_Toc176901956" </w:instrText>
          </w:r>
          <w:r>
            <w:fldChar w:fldCharType="separate"/>
          </w:r>
          <w:r>
            <w:rPr>
              <w:rFonts w:ascii="黑体" w:eastAsia="黑体" w:hint="eastAsia"/>
            </w:rPr>
            <w:t>一、主要职责</w:t>
          </w:r>
          <w:r>
            <w:rPr>
              <w:rFonts w:hint="eastAsia"/>
            </w:rPr>
            <w:tab/>
          </w:r>
          <w:r>
            <w:fldChar w:fldCharType="begin"/>
          </w:r>
          <w:r>
            <w:rPr>
              <w:rFonts w:hint="eastAsia"/>
            </w:rPr>
            <w:instrText xml:space="preserve"> </w:instrText>
          </w:r>
          <w:r>
            <w:instrText>PAGEREF _Toc176901956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"_Toc176901957" </w:instrText>
          </w:r>
          <w:r>
            <w:fldChar w:fldCharType="separate"/>
          </w:r>
          <w:r>
            <w:rPr>
              <w:rFonts w:ascii="黑体" w:eastAsia="黑体" w:hint="eastAsia"/>
            </w:rPr>
            <w:t>二、机构设置</w:t>
          </w:r>
          <w:r>
            <w:rPr>
              <w:rFonts w:hint="eastAsia"/>
            </w:rPr>
            <w:tab/>
          </w:r>
          <w:r>
            <w:fldChar w:fldCharType="begin"/>
          </w:r>
          <w:r>
            <w:rPr>
              <w:rFonts w:hint="eastAsia"/>
            </w:rPr>
            <w:instrText xml:space="preserve"> </w:instrText>
          </w:r>
          <w:r>
            <w:instrText>PAGEREF _Toc176901957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pPr>
            <w:pStyle w:val="23"/>
            <w:tabs>
              <w:tab w:val="right" w:leader="dot" w:pos="8296"/>
            </w:tabs>
            <w:rPr>
              <w:rFonts w:ascii="Calibri" w:eastAsia="宋体" w:cs="Arial" w:hAnsi="Calibri"/>
              <w:sz w:val="21"/>
              <w:szCs w:val="22"/>
            </w:rPr>
          </w:pPr>
          <w:r>
            <w:fldChar w:fldCharType="begin"/>
          </w:r>
          <w:r>
            <w:instrText xml:space="preserve"> HYPERLINK \l "_Toc176901958" </w:instrText>
          </w:r>
          <w:r>
            <w:fldChar w:fldCharType="separate"/>
          </w:r>
          <w:r>
            <w:rPr>
              <w:rFonts w:ascii="黑体" w:eastAsia="黑体" w:hint="eastAsia"/>
            </w:rPr>
            <w:t>第二部分 2023年度单位决算情况说明</w:t>
          </w:r>
          <w:r>
            <w:rPr>
              <w:rFonts w:hint="eastAsia"/>
            </w:rPr>
            <w:tab/>
          </w:r>
          <w:r>
            <w:fldChar w:fldCharType="begin"/>
          </w:r>
          <w:r>
            <w:rPr>
              <w:rFonts w:hint="eastAsia"/>
            </w:rPr>
            <w:instrText xml:space="preserve"> </w:instrText>
          </w:r>
          <w:r>
            <w:instrText>PAGEREF _Toc176901958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"_Toc176901959" </w:instrText>
          </w:r>
          <w:r>
            <w:fldChar w:fldCharType="separate"/>
          </w:r>
          <w:r>
            <w:rPr>
              <w:rFonts w:ascii="黑体" w:eastAsia="黑体" w:hint="eastAsia"/>
            </w:rPr>
            <w:t>一、收入支出决算总体情况说明</w:t>
          </w:r>
          <w:r>
            <w:rPr>
              <w:rFonts w:hint="eastAsia"/>
            </w:rPr>
            <w:tab/>
          </w:r>
          <w:r>
            <w:fldChar w:fldCharType="begin"/>
          </w:r>
          <w:r>
            <w:rPr>
              <w:rFonts w:hint="eastAsia"/>
            </w:rPr>
            <w:instrText xml:space="preserve"> </w:instrText>
          </w:r>
          <w:r>
            <w:instrText>PAGEREF _Toc176901959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"_Toc176901960" </w:instrText>
          </w:r>
          <w:r>
            <w:fldChar w:fldCharType="separate"/>
          </w:r>
          <w:r>
            <w:rPr>
              <w:rFonts w:ascii="黑体" w:eastAsia="黑体" w:hint="eastAsia"/>
            </w:rPr>
            <w:t>二、收入决算情况说明</w:t>
          </w:r>
          <w:r>
            <w:rPr>
              <w:rFonts w:hint="eastAsia"/>
            </w:rPr>
            <w:tab/>
          </w:r>
          <w:r>
            <w:fldChar w:fldCharType="begin"/>
          </w:r>
          <w:r>
            <w:rPr>
              <w:rFonts w:hint="eastAsia"/>
            </w:rPr>
            <w:instrText xml:space="preserve"> </w:instrText>
          </w:r>
          <w:r>
            <w:instrText>PAGEREF _Toc176901960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"_Toc176901962" </w:instrText>
          </w:r>
          <w:r>
            <w:fldChar w:fldCharType="separate"/>
          </w:r>
          <w:r>
            <w:rPr>
              <w:rFonts w:ascii="黑体" w:eastAsia="黑体" w:hint="eastAsia"/>
            </w:rPr>
            <w:t>三、支出决算情况说明</w:t>
          </w:r>
          <w:r>
            <w:rPr>
              <w:rFonts w:hint="eastAsia"/>
            </w:rPr>
            <w:tab/>
          </w:r>
          <w:r>
            <w:fldChar w:fldCharType="begin"/>
          </w:r>
          <w:r>
            <w:rPr>
              <w:rFonts w:hint="eastAsia"/>
            </w:rPr>
            <w:instrText xml:space="preserve"> </w:instrText>
          </w:r>
          <w:r>
            <w:instrText>PAGEREF _Toc176901962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"_Toc176901963" </w:instrText>
          </w:r>
          <w:r>
            <w:fldChar w:fldCharType="separate"/>
          </w:r>
          <w:r>
            <w:rPr>
              <w:rFonts w:ascii="黑体" w:eastAsia="黑体" w:hint="eastAsia"/>
            </w:rPr>
            <w:t>四、财政拨款收入支出决算总体情况说明</w:t>
          </w:r>
          <w:r>
            <w:rPr>
              <w:rFonts w:hint="eastAsia"/>
            </w:rPr>
            <w:tab/>
          </w:r>
          <w:r>
            <w:fldChar w:fldCharType="begin"/>
          </w:r>
          <w:r>
            <w:rPr>
              <w:rFonts w:hint="eastAsia"/>
            </w:rPr>
            <w:instrText xml:space="preserve"> </w:instrText>
          </w:r>
          <w:r>
            <w:instrText>PAGEREF _Toc176901963 \h</w:instrText>
          </w:r>
          <w:r>
            <w:rPr>
              <w:rFonts w:hint="eastAsia"/>
            </w:rPr>
            <w:instrText xml:space="preserve"> </w:instrText>
          </w:r>
          <w:r>
            <w:rPr>
              <w:rFonts w:hint="eastAsia"/>
            </w:rPr>
            <w:fldChar w:fldCharType="separate"/>
          </w:r>
          <w:r>
            <w:t>7</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"_Toc176901964" </w:instrText>
          </w:r>
          <w:r>
            <w:fldChar w:fldCharType="separate"/>
          </w:r>
          <w:r>
            <w:rPr>
              <w:rFonts w:ascii="黑体" w:eastAsia="黑体" w:hint="eastAsia"/>
            </w:rPr>
            <w:t>五、一般公共预算财政拨款支出决算情况说明</w:t>
          </w:r>
          <w:r>
            <w:rPr>
              <w:rFonts w:hint="eastAsia"/>
            </w:rPr>
            <w:tab/>
          </w:r>
          <w:r>
            <w:fldChar w:fldCharType="begin"/>
          </w:r>
          <w:r>
            <w:rPr>
              <w:rFonts w:hint="eastAsia"/>
            </w:rPr>
            <w:instrText xml:space="preserve"> </w:instrText>
          </w:r>
          <w:r>
            <w:instrText>PAGEREF _Toc176901964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9"/>
            <w:tabs>
              <w:tab w:val="right" w:leader="dot" w:pos="8296"/>
            </w:tabs>
            <w:rPr>
              <w:rFonts w:ascii="Calibri" w:eastAsia="宋体" w:cs="Arial" w:hAnsi="Calibri"/>
              <w:szCs w:val="22"/>
            </w:rPr>
          </w:pPr>
          <w:r>
            <w:fldChar w:fldCharType="begin"/>
          </w:r>
          <w:r>
            <w:instrText xml:space="preserve"> HYPERLINK \l "_Toc176901965" </w:instrText>
          </w:r>
          <w:r>
            <w:fldChar w:fldCharType="separate"/>
          </w:r>
          <w:r>
            <w:rPr>
              <w:rFonts w:ascii="楷体_GB2312" w:eastAsia="楷体_GB2312" w:hint="eastAsia"/>
            </w:rPr>
            <w:t>（一）一般公共预算财政拨款支出决算总体情况</w:t>
          </w:r>
          <w:r>
            <w:rPr>
              <w:rFonts w:hint="eastAsia"/>
            </w:rPr>
            <w:tab/>
          </w:r>
          <w:r>
            <w:fldChar w:fldCharType="begin"/>
          </w:r>
          <w:r>
            <w:rPr>
              <w:rFonts w:hint="eastAsia"/>
            </w:rPr>
            <w:instrText xml:space="preserve"> </w:instrText>
          </w:r>
          <w:r>
            <w:instrText>PAGEREF _Toc176901965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9"/>
            <w:tabs>
              <w:tab w:val="right" w:leader="dot" w:pos="8296"/>
            </w:tabs>
            <w:rPr>
              <w:rFonts w:ascii="Calibri" w:eastAsia="宋体" w:cs="Arial" w:hAnsi="Calibri"/>
              <w:szCs w:val="22"/>
            </w:rPr>
          </w:pPr>
          <w:r>
            <w:fldChar w:fldCharType="begin"/>
          </w:r>
          <w:r>
            <w:instrText xml:space="preserve"> HYPERLINK \l "_Toc176901966" </w:instrText>
          </w:r>
          <w:r>
            <w:fldChar w:fldCharType="separate"/>
          </w:r>
          <w:r>
            <w:rPr>
              <w:rFonts w:ascii="楷体_GB2312" w:eastAsia="楷体_GB2312" w:hint="eastAsia"/>
            </w:rPr>
            <w:t>（二）一般公共预算财政拨款支出决算结构情况</w:t>
          </w:r>
          <w:r>
            <w:rPr>
              <w:rFonts w:hint="eastAsia"/>
            </w:rPr>
            <w:tab/>
          </w:r>
          <w:r>
            <w:fldChar w:fldCharType="begin"/>
          </w:r>
          <w:r>
            <w:rPr>
              <w:rFonts w:hint="eastAsia"/>
            </w:rPr>
            <w:instrText xml:space="preserve"> </w:instrText>
          </w:r>
          <w:r>
            <w:instrText>PAGEREF _Toc176901966 \h</w:instrText>
          </w:r>
          <w:r>
            <w:rPr>
              <w:rFonts w:hint="eastAsia"/>
            </w:rPr>
            <w:instrText xml:space="preserve"> </w:instrText>
          </w:r>
          <w:r>
            <w:rPr>
              <w:rFonts w:hint="eastAsia"/>
            </w:rPr>
            <w:fldChar w:fldCharType="separate"/>
          </w:r>
          <w:r>
            <w:t>8</w:t>
          </w:r>
          <w:r>
            <w:rPr>
              <w:rFonts w:hint="eastAsia"/>
            </w:rPr>
            <w:fldChar w:fldCharType="end"/>
          </w:r>
          <w:r>
            <w:rPr>
              <w:rFonts w:hint="eastAsia"/>
            </w:rPr>
            <w:fldChar w:fldCharType="end"/>
          </w:r>
        </w:p>
        <w:p>
          <w:pPr>
            <w:pStyle w:val="19"/>
            <w:tabs>
              <w:tab w:val="right" w:leader="dot" w:pos="8296"/>
            </w:tabs>
            <w:rPr>
              <w:rFonts w:ascii="Calibri" w:eastAsia="宋体" w:cs="Arial" w:hAnsi="Calibri"/>
              <w:szCs w:val="22"/>
            </w:rPr>
          </w:pPr>
          <w:r>
            <w:fldChar w:fldCharType="begin"/>
          </w:r>
          <w:r>
            <w:instrText xml:space="preserve"> HYPERLINK \l "_Toc176901969" </w:instrText>
          </w:r>
          <w:r>
            <w:fldChar w:fldCharType="separate"/>
          </w:r>
          <w:r>
            <w:rPr>
              <w:rFonts w:ascii="楷体_GB2312" w:eastAsia="楷体_GB2312" w:hint="eastAsia"/>
            </w:rPr>
            <w:t>（三）一般公共预算财政拨款支出决算具体情况</w:t>
          </w:r>
          <w:r>
            <w:rPr>
              <w:rFonts w:hint="eastAsia"/>
            </w:rPr>
            <w:tab/>
          </w:r>
          <w:r>
            <w:fldChar w:fldCharType="begin"/>
          </w:r>
          <w:r>
            <w:rPr>
              <w:rFonts w:hint="eastAsia"/>
            </w:rPr>
            <w:instrText xml:space="preserve"> </w:instrText>
          </w:r>
          <w:r>
            <w:instrText>PAGEREF _Toc176901969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"_Toc176901970" </w:instrText>
          </w:r>
          <w:r>
            <w:fldChar w:fldCharType="separate"/>
          </w:r>
          <w:r>
            <w:rPr>
              <w:rFonts w:ascii="黑体" w:eastAsia="黑体" w:hint="eastAsia"/>
            </w:rPr>
            <w:t>六、一般公共预算财政拨款基本支出决算情况说明</w:t>
          </w:r>
          <w:r>
            <w:rPr>
              <w:rFonts w:hint="eastAsia"/>
            </w:rPr>
            <w:tab/>
          </w:r>
          <w:r>
            <w:fldChar w:fldCharType="begin"/>
          </w:r>
          <w:r>
            <w:rPr>
              <w:rFonts w:hint="eastAsia"/>
            </w:rPr>
            <w:instrText xml:space="preserve"> </w:instrText>
          </w:r>
          <w:r>
            <w:instrText>PAGEREF _Toc176901970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"_Toc176901971" </w:instrText>
          </w:r>
          <w:r>
            <w:fldChar w:fldCharType="separate"/>
          </w:r>
          <w:r>
            <w:rPr>
              <w:rFonts w:ascii="黑体" w:eastAsia="黑体" w:hint="eastAsia"/>
            </w:rPr>
            <w:t>七、财政拨款“三公”经费支出决算情况说明</w:t>
          </w:r>
          <w:r>
            <w:rPr>
              <w:rFonts w:hint="eastAsia"/>
            </w:rPr>
            <w:tab/>
          </w:r>
          <w:r>
            <w:fldChar w:fldCharType="begin"/>
          </w:r>
          <w:r>
            <w:rPr>
              <w:rFonts w:hint="eastAsia"/>
            </w:rPr>
            <w:instrText xml:space="preserve"> </w:instrText>
          </w:r>
          <w:r>
            <w:instrText>PAGEREF _Toc176901971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9"/>
            <w:tabs>
              <w:tab w:val="right" w:leader="dot" w:pos="8296"/>
            </w:tabs>
            <w:rPr>
              <w:rFonts w:ascii="Calibri" w:eastAsia="宋体" w:cs="Arial" w:hAnsi="Calibri"/>
              <w:szCs w:val="22"/>
            </w:rPr>
          </w:pPr>
          <w:r>
            <w:fldChar w:fldCharType="begin"/>
          </w:r>
          <w:r>
            <w:instrText xml:space="preserve"> HYPERLINK \l "_Toc176901972" </w:instrText>
          </w:r>
          <w:r>
            <w:fldChar w:fldCharType="separate"/>
          </w:r>
          <w:r>
            <w:rPr>
              <w:rFonts w:ascii="楷体_GB2312" w:eastAsia="楷体_GB2312" w:hint="eastAsia"/>
            </w:rPr>
            <w:t>（一）“三公”经费财政拨款支出决算总体情况说明</w:t>
          </w:r>
          <w:r>
            <w:rPr>
              <w:rFonts w:hint="eastAsia"/>
            </w:rPr>
            <w:tab/>
          </w:r>
          <w:r>
            <w:fldChar w:fldCharType="begin"/>
          </w:r>
          <w:r>
            <w:rPr>
              <w:rFonts w:hint="eastAsia"/>
            </w:rPr>
            <w:instrText xml:space="preserve"> </w:instrText>
          </w:r>
          <w:r>
            <w:instrText>PAGEREF _Toc176901972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19"/>
            <w:tabs>
              <w:tab w:val="right" w:leader="dot" w:pos="8296"/>
            </w:tabs>
            <w:rPr>
              <w:rFonts w:ascii="Calibri" w:eastAsia="宋体" w:cs="Arial" w:hAnsi="Calibri"/>
              <w:szCs w:val="22"/>
            </w:rPr>
          </w:pPr>
          <w:r>
            <w:fldChar w:fldCharType="begin"/>
          </w:r>
          <w:r>
            <w:instrText xml:space="preserve"> HYPERLINK \l "_Toc176901973" </w:instrText>
          </w:r>
          <w:r>
            <w:fldChar w:fldCharType="separate"/>
          </w:r>
          <w:r>
            <w:rPr>
              <w:rFonts w:ascii="楷体_GB2312" w:eastAsia="楷体_GB2312" w:hint="eastAsia"/>
            </w:rPr>
            <w:t>（二）“三公”经费财政拨款支出决算具体情况说明</w:t>
          </w:r>
          <w:r>
            <w:rPr>
              <w:rFonts w:hint="eastAsia"/>
            </w:rPr>
            <w:tab/>
          </w:r>
          <w:r>
            <w:fldChar w:fldCharType="begin"/>
          </w:r>
          <w:r>
            <w:rPr>
              <w:rFonts w:hint="eastAsia"/>
            </w:rPr>
            <w:instrText xml:space="preserve"> </w:instrText>
          </w:r>
          <w:r>
            <w:instrText>PAGEREF _Toc176901973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"_Toc176901974" </w:instrText>
          </w:r>
          <w:r>
            <w:fldChar w:fldCharType="separate"/>
          </w:r>
          <w:r>
            <w:rPr>
              <w:rFonts w:ascii="黑体" w:eastAsia="黑体" w:hint="eastAsia"/>
            </w:rPr>
            <w:t>八、政府性基金预算支出决算情况说明</w:t>
          </w:r>
          <w:r>
            <w:rPr>
              <w:rFonts w:hint="eastAsia"/>
            </w:rPr>
            <w:tab/>
          </w:r>
          <w:r>
            <w:fldChar w:fldCharType="begin"/>
          </w:r>
          <w:r>
            <w:rPr>
              <w:rFonts w:hint="eastAsia"/>
            </w:rPr>
            <w:instrText xml:space="preserve"> </w:instrText>
          </w:r>
          <w:r>
            <w:instrText>PAGEREF _Toc176901974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"_Toc176901975" </w:instrText>
          </w:r>
          <w:r>
            <w:fldChar w:fldCharType="separate"/>
          </w:r>
          <w:r>
            <w:rPr>
              <w:rFonts w:ascii="黑体" w:eastAsia="黑体" w:hint="eastAsia"/>
            </w:rPr>
            <w:t>九、国有资本经营预算支出决算情况说明</w:t>
          </w:r>
          <w:r>
            <w:rPr>
              <w:rFonts w:hint="eastAsia"/>
            </w:rPr>
            <w:tab/>
          </w:r>
          <w:r>
            <w:fldChar w:fldCharType="begin"/>
          </w:r>
          <w:r>
            <w:rPr>
              <w:rFonts w:hint="eastAsia"/>
            </w:rPr>
            <w:instrText xml:space="preserve"> </w:instrText>
          </w:r>
          <w:r>
            <w:instrText>PAGEREF _Toc176901975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"_Toc176901976" </w:instrText>
          </w:r>
          <w:r>
            <w:fldChar w:fldCharType="separate"/>
          </w:r>
          <w:r>
            <w:rPr>
              <w:rFonts w:ascii="黑体" w:eastAsia="黑体" w:hint="eastAsia"/>
            </w:rPr>
            <w:t>十、其他重要事项的情况说明</w:t>
          </w:r>
          <w:r>
            <w:rPr>
              <w:rFonts w:hint="eastAsia"/>
            </w:rPr>
            <w:tab/>
          </w:r>
          <w:r>
            <w:fldChar w:fldCharType="begin"/>
          </w:r>
          <w:r>
            <w:rPr>
              <w:rFonts w:hint="eastAsia"/>
            </w:rPr>
            <w:instrText xml:space="preserve"> </w:instrText>
          </w:r>
          <w:r>
            <w:instrText>PAGEREF _Toc176901976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9"/>
            <w:tabs>
              <w:tab w:val="right" w:leader="dot" w:pos="8296"/>
            </w:tabs>
            <w:rPr>
              <w:rFonts w:ascii="Calibri" w:eastAsia="宋体" w:cs="Arial" w:hAnsi="Calibri"/>
              <w:szCs w:val="22"/>
            </w:rPr>
          </w:pPr>
          <w:r>
            <w:fldChar w:fldCharType="begin"/>
          </w:r>
          <w:r>
            <w:instrText xml:space="preserve"> HYPERLINK \l "_Toc176901977" </w:instrText>
          </w:r>
          <w:r>
            <w:fldChar w:fldCharType="separate"/>
          </w:r>
          <w:r>
            <w:rPr>
              <w:rFonts w:ascii="楷体_GB2312" w:eastAsia="楷体_GB2312" w:hint="eastAsia"/>
            </w:rPr>
            <w:t>（一）机关运行经费支出情况</w:t>
          </w:r>
          <w:r>
            <w:rPr>
              <w:rFonts w:hint="eastAsia"/>
            </w:rPr>
            <w:tab/>
          </w:r>
          <w:r>
            <w:fldChar w:fldCharType="begin"/>
          </w:r>
          <w:r>
            <w:rPr>
              <w:rFonts w:hint="eastAsia"/>
            </w:rPr>
            <w:instrText xml:space="preserve"> </w:instrText>
          </w:r>
          <w:r>
            <w:instrText>PAGEREF _Toc176901977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9"/>
            <w:tabs>
              <w:tab w:val="right" w:leader="dot" w:pos="8296"/>
            </w:tabs>
            <w:rPr>
              <w:rFonts w:ascii="Calibri" w:eastAsia="宋体" w:cs="Arial" w:hAnsi="Calibri"/>
              <w:szCs w:val="22"/>
            </w:rPr>
          </w:pPr>
          <w:r>
            <w:fldChar w:fldCharType="begin"/>
          </w:r>
          <w:r>
            <w:instrText xml:space="preserve"> HYPERLINK \l "_Toc176901978" </w:instrText>
          </w:r>
          <w:r>
            <w:fldChar w:fldCharType="separate"/>
          </w:r>
          <w:r>
            <w:rPr>
              <w:rFonts w:ascii="楷体_GB2312" w:eastAsia="楷体_GB2312" w:hint="eastAsia"/>
            </w:rPr>
            <w:t>（二）政府采购支出情况</w:t>
          </w:r>
          <w:r>
            <w:rPr>
              <w:rFonts w:hint="eastAsia"/>
            </w:rPr>
            <w:tab/>
          </w:r>
          <w:r>
            <w:fldChar w:fldCharType="begin"/>
          </w:r>
          <w:r>
            <w:rPr>
              <w:rFonts w:hint="eastAsia"/>
            </w:rPr>
            <w:instrText xml:space="preserve"> </w:instrText>
          </w:r>
          <w:r>
            <w:instrText>PAGEREF _Toc176901978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pPr>
            <w:pStyle w:val="19"/>
            <w:tabs>
              <w:tab w:val="right" w:leader="dot" w:pos="8296"/>
            </w:tabs>
            <w:rPr>
              <w:rFonts w:ascii="Calibri" w:eastAsia="宋体" w:cs="Arial" w:hAnsi="Calibri"/>
              <w:szCs w:val="22"/>
            </w:rPr>
          </w:pPr>
          <w:r>
            <w:fldChar w:fldCharType="begin"/>
          </w:r>
          <w:r>
            <w:instrText xml:space="preserve"> HYPERLINK \l "_Toc176901979" </w:instrText>
          </w:r>
          <w:r>
            <w:fldChar w:fldCharType="separate"/>
          </w:r>
          <w:r>
            <w:rPr>
              <w:rFonts w:ascii="楷体_GB2312" w:eastAsia="楷体_GB2312" w:hint="eastAsia"/>
            </w:rPr>
            <w:t>（三）国有资产占有使用情况</w:t>
          </w:r>
          <w:r>
            <w:rPr>
              <w:rFonts w:hint="eastAsia"/>
            </w:rPr>
            <w:tab/>
          </w:r>
          <w:r>
            <w:fldChar w:fldCharType="begin"/>
          </w:r>
          <w:r>
            <w:rPr>
              <w:rFonts w:hint="eastAsia"/>
            </w:rPr>
            <w:instrText xml:space="preserve"> </w:instrText>
          </w:r>
          <w:r>
            <w:instrText>PAGEREF _Toc176901979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19"/>
            <w:tabs>
              <w:tab w:val="right" w:leader="dot" w:pos="8296"/>
            </w:tabs>
            <w:rPr>
              <w:rFonts w:ascii="Calibri" w:eastAsia="宋体" w:cs="Arial" w:hAnsi="Calibri"/>
              <w:szCs w:val="22"/>
            </w:rPr>
          </w:pPr>
          <w:r>
            <w:fldChar w:fldCharType="begin"/>
          </w:r>
          <w:r>
            <w:instrText xml:space="preserve"> HYPERLINK \l "_Toc176901980" </w:instrText>
          </w:r>
          <w:r>
            <w:fldChar w:fldCharType="separate"/>
          </w:r>
          <w:r>
            <w:rPr>
              <w:rFonts w:ascii="楷体_GB2312" w:eastAsia="楷体_GB2312" w:hint="eastAsia"/>
            </w:rPr>
            <w:t>（四）预算绩效管理情况</w:t>
          </w:r>
          <w:r>
            <w:rPr>
              <w:rFonts w:hint="eastAsia"/>
            </w:rPr>
            <w:tab/>
          </w:r>
          <w:r>
            <w:fldChar w:fldCharType="begin"/>
          </w:r>
          <w:r>
            <w:rPr>
              <w:rFonts w:hint="eastAsia"/>
            </w:rPr>
            <w:instrText xml:space="preserve"> </w:instrText>
          </w:r>
          <w:r>
            <w:instrText>PAGEREF _Toc176901980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pPr>
            <w:pStyle w:val="23"/>
            <w:tabs>
              <w:tab w:val="right" w:leader="dot" w:pos="8296"/>
            </w:tabs>
            <w:rPr>
              <w:rFonts w:ascii="Calibri" w:eastAsia="宋体" w:cs="Arial" w:hAnsi="Calibri"/>
              <w:sz w:val="21"/>
              <w:szCs w:val="22"/>
            </w:rPr>
          </w:pPr>
          <w:r>
            <w:fldChar w:fldCharType="begin"/>
          </w:r>
          <w:r>
            <w:instrText xml:space="preserve"> HYPERLINK \l "_Toc176901981" </w:instrText>
          </w:r>
          <w:r>
            <w:fldChar w:fldCharType="separate"/>
          </w:r>
          <w:r>
            <w:rPr>
              <w:rFonts w:ascii="黑体" w:eastAsia="黑体" w:hint="eastAsia"/>
              <w:bCs/>
              <w:kern w:val="44"/>
            </w:rPr>
            <w:t>第三部分</w:t>
          </w:r>
          <w:r>
            <w:rPr>
              <w:rFonts w:ascii="黑体" w:eastAsia="黑体" w:hint="eastAsia"/>
            </w:rPr>
            <w:t xml:space="preserve"> 名</w:t>
          </w:r>
          <w:r>
            <w:rPr>
              <w:rFonts w:ascii="黑体" w:eastAsia="黑体" w:hint="eastAsia"/>
              <w:bCs/>
              <w:kern w:val="44"/>
            </w:rPr>
            <w:t>词解释</w:t>
          </w:r>
          <w:r>
            <w:rPr>
              <w:rFonts w:hint="eastAsia"/>
            </w:rPr>
            <w:tab/>
          </w:r>
          <w:r>
            <w:fldChar w:fldCharType="begin"/>
          </w:r>
          <w:r>
            <w:rPr>
              <w:rFonts w:hint="eastAsia"/>
            </w:rPr>
            <w:instrText xml:space="preserve"> </w:instrText>
          </w:r>
          <w:r>
            <w:instrText>PAGEREF _Toc176901981 \h</w:instrText>
          </w:r>
          <w:r>
            <w:rPr>
              <w:rFonts w:hint="eastAsia"/>
            </w:rPr>
            <w:instrText xml:space="preserve"> </w:instrText>
          </w:r>
          <w:r>
            <w:rPr>
              <w:rFonts w:hint="eastAsia"/>
            </w:rPr>
            <w:fldChar w:fldCharType="separate"/>
          </w:r>
          <w:r>
            <w:rPr>
              <w:rFonts w:hint="eastAsia"/>
            </w:rPr>
            <w:t>15</w:t>
          </w:r>
          <w:r>
            <w:rPr>
              <w:rFonts w:hint="eastAsia"/>
            </w:rPr>
            <w:fldChar w:fldCharType="end"/>
          </w:r>
          <w:r>
            <w:rPr>
              <w:rFonts w:hint="eastAsia"/>
            </w:rPr>
            <w:fldChar w:fldCharType="end"/>
          </w:r>
        </w:p>
        <w:p>
          <w:pPr>
            <w:pStyle w:val="23"/>
            <w:tabs>
              <w:tab w:val="right" w:leader="dot" w:pos="8296"/>
            </w:tabs>
            <w:rPr>
              <w:rFonts w:ascii="Calibri" w:eastAsia="宋体" w:cs="Arial" w:hAnsi="Calibri"/>
              <w:sz w:val="21"/>
              <w:szCs w:val="22"/>
            </w:rPr>
          </w:pPr>
          <w:r>
            <w:fldChar w:fldCharType="begin"/>
          </w:r>
          <w:r>
            <w:instrText xml:space="preserve"> HYPERLINK \l "_Toc176901982" </w:instrText>
          </w:r>
          <w:r>
            <w:fldChar w:fldCharType="separate"/>
          </w:r>
          <w:r>
            <w:rPr>
              <w:rFonts w:ascii="黑体" w:eastAsia="黑体" w:hint="eastAsia"/>
            </w:rPr>
            <w:t>第四部分 附件</w:t>
          </w:r>
          <w:r>
            <w:rPr>
              <w:rFonts w:hint="eastAsia"/>
            </w:rPr>
            <w:tab/>
          </w:r>
          <w:r>
            <w:fldChar w:fldCharType="begin"/>
          </w:r>
          <w:r>
            <w:rPr>
              <w:rFonts w:hint="eastAsia"/>
            </w:rPr>
            <w:instrText xml:space="preserve"> </w:instrText>
          </w:r>
          <w:r>
            <w:instrText>PAGEREF _Toc176901982 \h</w:instrText>
          </w:r>
          <w:r>
            <w:rPr>
              <w:rFonts w:hint="eastAsia"/>
            </w:rPr>
            <w:instrText xml:space="preserve"> </w:instrText>
          </w:r>
          <w:r>
            <w:rPr>
              <w:rFonts w:hint="eastAsia"/>
            </w:rPr>
            <w:fldChar w:fldCharType="separate"/>
          </w:r>
          <w:r>
            <w:rPr>
              <w:rFonts w:hint="eastAsia"/>
            </w:rPr>
            <w:t>18</w:t>
          </w:r>
          <w:r>
            <w:rPr>
              <w:rFonts w:hint="eastAsia"/>
            </w:rPr>
            <w:fldChar w:fldCharType="end"/>
          </w:r>
          <w:r>
            <w:rPr>
              <w:rFonts w:hint="eastAsia"/>
            </w:rPr>
            <w:fldChar w:fldCharType="end"/>
          </w:r>
        </w:p>
        <w:p>
          <w:pPr>
            <w:pStyle w:val="23"/>
            <w:tabs>
              <w:tab w:val="right" w:leader="dot" w:pos="8296"/>
            </w:tabs>
            <w:rPr>
              <w:rFonts w:ascii="Calibri" w:eastAsia="宋体" w:cs="Arial" w:hAnsi="Calibri"/>
              <w:sz w:val="21"/>
              <w:szCs w:val="22"/>
            </w:rPr>
          </w:pPr>
          <w:r>
            <w:fldChar w:fldCharType="begin"/>
          </w:r>
          <w:r>
            <w:instrText xml:space="preserve"> HYPERLINK \l "_Toc176901983" </w:instrText>
          </w:r>
          <w:r>
            <w:fldChar w:fldCharType="separate"/>
          </w:r>
          <w:r>
            <w:rPr>
              <w:rFonts w:ascii="黑体" w:eastAsia="黑体" w:hint="eastAsia"/>
            </w:rPr>
            <w:t>第五部分 附表</w:t>
          </w:r>
          <w:r>
            <w:rPr>
              <w:rFonts w:hint="eastAsia"/>
            </w:rPr>
            <w:tab/>
          </w:r>
          <w:r>
            <w:fldChar w:fldCharType="begin"/>
          </w:r>
          <w:r>
            <w:rPr>
              <w:rFonts w:hint="eastAsia"/>
            </w:rPr>
            <w:instrText xml:space="preserve"> </w:instrText>
          </w:r>
          <w:r>
            <w:instrText>PAGEREF _Toc176901983 \h</w:instrText>
          </w:r>
          <w:r>
            <w:rPr>
              <w:rFonts w:hint="eastAsia"/>
            </w:rPr>
            <w:instrText xml:space="preserve"> </w:instrText>
          </w:r>
          <w:r>
            <w:rPr>
              <w:rFonts w:hint="eastAsia"/>
            </w:rPr>
            <w:fldChar w:fldCharType="separate"/>
          </w:r>
          <w:r>
            <w:rPr>
              <w:rFonts w:hint="eastAsia"/>
            </w:rP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"_Toc176901984" </w:instrText>
          </w:r>
          <w:r>
            <w:fldChar w:fldCharType="separate"/>
          </w:r>
          <w:r>
            <w:rPr>
              <w:rFonts w:ascii="仿宋" w:eastAsia="仿宋" w:hint="eastAsia"/>
            </w:rPr>
            <w:t>一、收入支出决算总表</w:t>
          </w:r>
          <w:r>
            <w:rPr>
              <w:rFonts w:hint="eastAsia"/>
            </w:rPr>
            <w:tab/>
          </w:r>
          <w:r>
            <w:fldChar w:fldCharType="begin"/>
          </w:r>
          <w:r>
            <w:rPr>
              <w:rFonts w:hint="eastAsia"/>
            </w:rPr>
            <w:instrText xml:space="preserve"> </w:instrText>
          </w:r>
          <w:r>
            <w:instrText>PAGEREF _Toc176901984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"_Toc176901985" </w:instrText>
          </w:r>
          <w:r>
            <w:fldChar w:fldCharType="separate"/>
          </w:r>
          <w:r>
            <w:rPr>
              <w:rFonts w:ascii="仿宋" w:eastAsia="仿宋" w:hint="eastAsia"/>
            </w:rPr>
            <w:t>二、收入决算表</w:t>
          </w:r>
          <w:r>
            <w:rPr>
              <w:rFonts w:hint="eastAsia"/>
            </w:rPr>
            <w:tab/>
          </w:r>
          <w:r>
            <w:fldChar w:fldCharType="begin"/>
          </w:r>
          <w:r>
            <w:rPr>
              <w:rFonts w:hint="eastAsia"/>
            </w:rPr>
            <w:instrText xml:space="preserve"> </w:instrText>
          </w:r>
          <w:r>
            <w:instrText>PAGEREF _Toc176901985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"_Toc176901986" </w:instrText>
          </w:r>
          <w:r>
            <w:fldChar w:fldCharType="separate"/>
          </w:r>
          <w:r>
            <w:rPr>
              <w:rFonts w:ascii="仿宋" w:eastAsia="仿宋" w:hint="eastAsia"/>
            </w:rPr>
            <w:t>三、支出决算表</w:t>
          </w:r>
          <w:r>
            <w:rPr>
              <w:rFonts w:hint="eastAsia"/>
            </w:rPr>
            <w:tab/>
          </w:r>
          <w:r>
            <w:fldChar w:fldCharType="begin"/>
          </w:r>
          <w:r>
            <w:rPr>
              <w:rFonts w:hint="eastAsia"/>
            </w:rPr>
            <w:instrText xml:space="preserve"> </w:instrText>
          </w:r>
          <w:r>
            <w:instrText>PAGEREF _Toc176901986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"_Toc176901987" </w:instrText>
          </w:r>
          <w:r>
            <w:fldChar w:fldCharType="separate"/>
          </w:r>
          <w:r>
            <w:rPr>
              <w:rFonts w:ascii="仿宋" w:eastAsia="仿宋" w:hint="eastAsia"/>
            </w:rPr>
            <w:t>四、财政拨款收入支出决算总表</w:t>
          </w:r>
          <w:r>
            <w:rPr>
              <w:rFonts w:hint="eastAsia"/>
            </w:rPr>
            <w:tab/>
          </w:r>
          <w:r>
            <w:fldChar w:fldCharType="begin"/>
          </w:r>
          <w:r>
            <w:rPr>
              <w:rFonts w:hint="eastAsia"/>
            </w:rPr>
            <w:instrText xml:space="preserve"> </w:instrText>
          </w:r>
          <w:r>
            <w:instrText>PAGEREF _Toc176901987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"_Toc176901988" </w:instrText>
          </w:r>
          <w:r>
            <w:fldChar w:fldCharType="separate"/>
          </w:r>
          <w:r>
            <w:rPr>
              <w:rFonts w:ascii="仿宋" w:eastAsia="仿宋" w:hint="eastAsia"/>
            </w:rPr>
            <w:t>五、财政拨款支出决算明细表</w:t>
          </w:r>
          <w:r>
            <w:rPr>
              <w:rFonts w:hint="eastAsia"/>
            </w:rPr>
            <w:tab/>
          </w:r>
          <w:r>
            <w:fldChar w:fldCharType="begin"/>
          </w:r>
          <w:r>
            <w:rPr>
              <w:rFonts w:hint="eastAsia"/>
            </w:rPr>
            <w:instrText xml:space="preserve"> </w:instrText>
          </w:r>
          <w:r>
            <w:instrText>PAGEREF _Toc176901988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"_Toc176901989" </w:instrText>
          </w:r>
          <w:r>
            <w:fldChar w:fldCharType="separate"/>
          </w:r>
          <w:r>
            <w:rPr>
              <w:rFonts w:ascii="仿宋" w:eastAsia="仿宋" w:hint="eastAsia"/>
            </w:rPr>
            <w:t>六、一般公共预算财政拨款支出决算表</w:t>
          </w:r>
          <w:r>
            <w:rPr>
              <w:rFonts w:hint="eastAsia"/>
            </w:rPr>
            <w:tab/>
          </w:r>
          <w:r>
            <w:fldChar w:fldCharType="begin"/>
          </w:r>
          <w:r>
            <w:rPr>
              <w:rFonts w:hint="eastAsia"/>
            </w:rPr>
            <w:instrText xml:space="preserve"> </w:instrText>
          </w:r>
          <w:r>
            <w:instrText>PAGEREF _Toc176901989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"_Toc176901990" </w:instrText>
          </w:r>
          <w:r>
            <w:fldChar w:fldCharType="separate"/>
          </w:r>
          <w:r>
            <w:rPr>
              <w:rFonts w:ascii="仿宋" w:eastAsia="仿宋" w:hint="eastAsia"/>
            </w:rPr>
            <w:t>七、一般公共预算财政拨款支出决算明细表</w:t>
          </w:r>
          <w:r>
            <w:rPr>
              <w:rFonts w:hint="eastAsia"/>
            </w:rPr>
            <w:tab/>
          </w:r>
          <w:r>
            <w:fldChar w:fldCharType="begin"/>
          </w:r>
          <w:r>
            <w:rPr>
              <w:rFonts w:hint="eastAsia"/>
            </w:rPr>
            <w:instrText xml:space="preserve"> </w:instrText>
          </w:r>
          <w:r>
            <w:instrText>PAGEREF _Toc176901990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"_Toc176901991" </w:instrText>
          </w:r>
          <w:r>
            <w:fldChar w:fldCharType="separate"/>
          </w:r>
          <w:r>
            <w:rPr>
              <w:rFonts w:ascii="仿宋" w:eastAsia="仿宋" w:hint="eastAsia"/>
            </w:rPr>
            <w:t>八、一般公共预算财政拨款基本支出决算表</w:t>
          </w:r>
          <w:r>
            <w:rPr>
              <w:rFonts w:hint="eastAsia"/>
            </w:rPr>
            <w:tab/>
          </w:r>
          <w:r>
            <w:fldChar w:fldCharType="begin"/>
          </w:r>
          <w:r>
            <w:rPr>
              <w:rFonts w:hint="eastAsia"/>
            </w:rPr>
            <w:instrText xml:space="preserve"> </w:instrText>
          </w:r>
          <w:r>
            <w:instrText>PAGEREF _Toc176901991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"_Toc176901992" </w:instrText>
          </w:r>
          <w:r>
            <w:fldChar w:fldCharType="separate"/>
          </w:r>
          <w:r>
            <w:rPr>
              <w:rFonts w:ascii="仿宋" w:eastAsia="仿宋" w:hint="eastAsia"/>
            </w:rPr>
            <w:t>九、一般公共预算财政拨款项目支出决算表</w:t>
          </w:r>
          <w:r>
            <w:rPr>
              <w:rFonts w:hint="eastAsia"/>
            </w:rPr>
            <w:tab/>
          </w:r>
          <w:r>
            <w:fldChar w:fldCharType="begin"/>
          </w:r>
          <w:r>
            <w:rPr>
              <w:rFonts w:hint="eastAsia"/>
            </w:rPr>
            <w:instrText xml:space="preserve"> </w:instrText>
          </w:r>
          <w:r>
            <w:instrText>PAGEREF _Toc176901992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"_Toc176901993" </w:instrText>
          </w:r>
          <w:r>
            <w:fldChar w:fldCharType="separate"/>
          </w:r>
          <w:r>
            <w:rPr>
              <w:rFonts w:ascii="仿宋" w:eastAsia="仿宋" w:hint="eastAsia"/>
            </w:rPr>
            <w:t>十、政府性基金预算财政拨款收入支出决算表</w:t>
          </w:r>
          <w:r>
            <w:rPr>
              <w:rFonts w:hint="eastAsia"/>
            </w:rPr>
            <w:tab/>
          </w:r>
          <w:r>
            <w:fldChar w:fldCharType="begin"/>
          </w:r>
          <w:r>
            <w:rPr>
              <w:rFonts w:hint="eastAsia"/>
            </w:rPr>
            <w:instrText xml:space="preserve"> </w:instrText>
          </w:r>
          <w:r>
            <w:instrText>PAGEREF _Toc176901993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"_Toc176901994" </w:instrText>
          </w:r>
          <w:r>
            <w:fldChar w:fldCharType="separate"/>
          </w:r>
          <w:r>
            <w:rPr>
              <w:rFonts w:ascii="仿宋" w:eastAsia="仿宋" w:hint="eastAsia"/>
            </w:rPr>
            <w:t>十一、国有资本经营预算财政拨款收入支出决算表</w:t>
          </w:r>
          <w:r>
            <w:rPr>
              <w:rFonts w:hint="eastAsia"/>
            </w:rPr>
            <w:tab/>
          </w:r>
          <w:r>
            <w:fldChar w:fldCharType="begin"/>
          </w:r>
          <w:r>
            <w:rPr>
              <w:rFonts w:hint="eastAsia"/>
            </w:rPr>
            <w:instrText xml:space="preserve"> </w:instrText>
          </w:r>
          <w:r>
            <w:instrText>PAGEREF _Toc176901994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"_Toc176901995" </w:instrText>
          </w:r>
          <w:r>
            <w:fldChar w:fldCharType="separate"/>
          </w:r>
          <w:r>
            <w:rPr>
              <w:rFonts w:ascii="仿宋" w:eastAsia="仿宋" w:hint="eastAsia"/>
            </w:rPr>
            <w:t>十二、国有资本经营预算财政拨款支出决算表</w:t>
          </w:r>
          <w:r>
            <w:rPr>
              <w:rFonts w:hint="eastAsia"/>
            </w:rPr>
            <w:tab/>
          </w:r>
          <w:r>
            <w:fldChar w:fldCharType="begin"/>
          </w:r>
          <w:r>
            <w:rPr>
              <w:rFonts w:hint="eastAsia"/>
            </w:rPr>
            <w:instrText xml:space="preserve"> </w:instrText>
          </w:r>
          <w:r>
            <w:instrText>PAGEREF _Toc176901995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pStyle w:val="24"/>
            <w:tabs>
              <w:tab w:val="right" w:leader="dot" w:pos="8296"/>
            </w:tabs>
            <w:rPr>
              <w:rFonts w:ascii="Calibri" w:eastAsia="宋体" w:cs="Arial" w:hAnsi="Calibri"/>
              <w:szCs w:val="22"/>
            </w:rPr>
          </w:pPr>
          <w:r>
            <w:fldChar w:fldCharType="begin"/>
          </w:r>
          <w:r>
            <w:instrText xml:space="preserve"> HYPERLINK \l "_Toc176901996" </w:instrText>
          </w:r>
          <w:r>
            <w:fldChar w:fldCharType="separate"/>
          </w:r>
          <w:r>
            <w:rPr>
              <w:rFonts w:ascii="仿宋" w:eastAsia="仿宋" w:hint="eastAsia"/>
            </w:rPr>
            <w:t>十三、财政拨款“三公”经费支出决算表</w:t>
          </w:r>
          <w:r>
            <w:rPr>
              <w:rFonts w:hint="eastAsia"/>
            </w:rPr>
            <w:tab/>
          </w:r>
          <w:r>
            <w:fldChar w:fldCharType="begin"/>
          </w:r>
          <w:r>
            <w:rPr>
              <w:rFonts w:hint="eastAsia"/>
            </w:rPr>
            <w:instrText xml:space="preserve"> </w:instrText>
          </w:r>
          <w:r>
            <w:instrText>PAGEREF _Toc176901996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pPr>
            <w:widowControl/>
            <w:spacing w:line="440" w:lineRule="exact"/>
            <w:jc w:val="left"/>
            <w:rPr>
              <w:rFonts w:ascii="仿宋" w:eastAsia="仿宋" w:hint="eastAsia"/>
              <w:bCs/>
              <w:kern w:val="44"/>
              <w:sz w:val="24"/>
            </w:rPr>
          </w:pPr>
          <w:r>
            <w:rPr>
              <w:rFonts w:ascii="仿宋" w:eastAsia="仿宋"/>
              <w:bCs/>
              <w:kern w:val="44"/>
            </w:rPr>
            <w:fldChar w:fldCharType="end"/>
          </w:r>
        </w:p>
      </w:sdtContent>
    </w:sdt>
    <w:p>
      <w:pPr>
        <w:pStyle w:val="1"/>
        <w:jc w:val="center"/>
        <w:rPr>
          <w:rFonts w:ascii="黑体" w:eastAsia="黑体" w:hint="eastAsia"/>
          <w:b w:val="0"/>
        </w:rPr>
      </w:pPr>
      <w:r>
        <w:rPr>
          <w:rFonts w:ascii="黑体" w:eastAsia="黑体" w:hint="eastAsia"/>
          <w:b w:val="0"/>
        </w:rPr>
        <w:br w:type="page"/>
      </w:r>
    </w:p>
    <w:p>
      <w:pPr>
        <w:pStyle w:val="1"/>
        <w:jc w:val="center"/>
        <w:rPr>
          <w:rStyle w:val="1Char"/>
          <w:rFonts w:ascii="黑体" w:eastAsia="黑体" w:hint="eastAsia"/>
          <w:b/>
          <w:bCs w:val="0"/>
        </w:rPr>
      </w:pPr>
      <w:bookmarkStart w:id="18" w:name="_Toc176901955"/>
      <w:r>
        <w:rPr>
          <w:rFonts w:ascii="黑体" w:eastAsia="黑体" w:hint="eastAsia"/>
          <w:b w:val="0"/>
        </w:rPr>
        <w:t>第一部分 单位</w:t>
      </w:r>
      <w:r>
        <w:rPr>
          <w:rStyle w:val="1Char"/>
          <w:rFonts w:ascii="黑体" w:eastAsia="黑体" w:hint="eastAsia"/>
          <w:b w:val="0"/>
          <w:bCs w:val="0"/>
        </w:rPr>
        <w:t>概况</w:t>
      </w:r>
      <w:bookmarkEnd w:id="16"/>
      <w:bookmarkEnd w:id="17"/>
      <w:bookmarkEnd w:id="18"/>
    </w:p>
    <w:p>
      <w:pPr>
        <w:widowControl/>
        <w:jc w:val="left"/>
        <w:rPr>
          <w:rFonts w:ascii="黑体" w:eastAsia="黑体"/>
          <w:sz w:val="32"/>
          <w:szCs w:val="32"/>
        </w:rPr>
      </w:pPr>
    </w:p>
    <w:p>
      <w:pPr>
        <w:pStyle w:val="2"/>
        <w:rPr>
          <w:rFonts w:ascii="黑体" w:eastAsia="黑体" w:hint="eastAsia"/>
          <w:b w:val="0"/>
        </w:rPr>
      </w:pPr>
      <w:bookmarkStart w:id="19" w:name="_Toc176901956"/>
      <w:r>
        <w:rPr>
          <w:rFonts w:ascii="黑体" w:eastAsia="黑体" w:hint="eastAsia"/>
          <w:b w:val="0"/>
        </w:rPr>
        <w:t>一、主要职责</w:t>
      </w:r>
      <w:bookmarkEnd w:id="19"/>
    </w:p>
    <w:p>
      <w:pPr>
        <w:adjustRightInd w:val="0"/>
        <w:snapToGrid w:val="0"/>
        <w:spacing w:line="576" w:lineRule="exact"/>
        <w:ind w:firstLineChars="200" w:firstLine="640"/>
        <w:rPr>
          <w:rFonts w:eastAsia="仿宋_GB2312"/>
        </w:rPr>
      </w:pPr>
      <w:r>
        <w:rPr>
          <w:rFonts w:ascii="仿宋_GB2312" w:eastAsia="仿宋_GB2312" w:cs="仿宋_GB2312" w:hint="eastAsia"/>
          <w:sz w:val="32"/>
          <w:szCs w:val="32"/>
        </w:rPr>
        <w:t>贯彻执行党和政府关于民族、宗教工作的法律法规和方针政策。处理民族关系中的重大事项。负责民族、宗教政策、法律、法规的宣传教育工作并监督实施。拟定民族地区经济社会发展规划。管理民族专项资金。研究少数民族和民族地区教育、文化、科技、卫生、体育、计划生育、新闻出版等方面的特殊问题。监督和办理少数民族权益保障事宜。依法保护公民宗教信仰自由和正常的宗教活动，维护宗教界合法权益，支持宗教团体加强自身建设。负责对宗教法律、法规和政策的贯彻实施进行监督管理；引导、促进宗教在法律、法规和政策范围内活动，防止和制止不法分子利用宗教进行非法、违法活动。负责组织实施安置凉山州自发迁居农民工作规划、管理，协助县（区）和相关部门处理好自发迁居农民的遗留问题，指导县区完成凉山州自发迁农民的安置发展工作。会同相关部门做好少数民族干部和民族工作干部的培养、教育和推荐使用工作。参与涉及民族、宗教事务的对外宣传工作。承担市政府公布的有关行政审批事项。</w:t>
      </w:r>
    </w:p>
    <w:p>
      <w:pPr>
        <w:pStyle w:val="2"/>
        <w:adjustRightInd w:val="0"/>
        <w:snapToGrid w:val="0"/>
        <w:spacing w:line="576" w:lineRule="exact"/>
        <w:rPr>
          <w:rFonts w:ascii="黑体" w:eastAsia="黑体" w:hint="eastAsia"/>
          <w:b w:val="0"/>
        </w:rPr>
      </w:pPr>
      <w:bookmarkStart w:id="20" w:name="_Toc15377200"/>
      <w:bookmarkStart w:id="21" w:name="_Toc15396601"/>
      <w:bookmarkStart w:id="22" w:name="_Toc176901957"/>
      <w:r>
        <w:rPr>
          <w:rFonts w:ascii="黑体" w:eastAsia="黑体" w:hint="eastAsia"/>
          <w:b w:val="0"/>
        </w:rPr>
        <w:t>二、机构设置</w:t>
      </w:r>
      <w:bookmarkEnd w:id="20"/>
      <w:bookmarkEnd w:id="21"/>
      <w:bookmarkEnd w:id="22"/>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攀枝花市民族宗教委员会下属二级预算单位1个，其中行政单位0个，参照公务员法管理的事业单位0个，其他事业单位1个。</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纳入攀枝花市民族宗教委2023年度部门决算编制范围的二级预算单位包括：</w:t>
      </w:r>
    </w:p>
    <w:p>
      <w:pPr>
        <w:adjustRightInd w:val="0"/>
        <w:snapToGrid w:val="0"/>
        <w:spacing w:line="576" w:lineRule="exact"/>
        <w:ind w:firstLineChars="200" w:firstLine="640"/>
        <w:rPr>
          <w:rFonts w:ascii="仿宋_GB2312" w:eastAsia="仿宋_GB2312" w:cs="仿宋_GB2312" w:hint="eastAsia"/>
          <w:sz w:val="32"/>
          <w:szCs w:val="32"/>
        </w:rPr>
      </w:pPr>
      <w:bookmarkStart w:id="23" w:name="_Toc15377433"/>
      <w:bookmarkStart w:id="24" w:name="_Toc15306276"/>
      <w:bookmarkStart w:id="25" w:name="_Toc15378449"/>
      <w:bookmarkStart w:id="26" w:name="_Toc15377202"/>
      <w:r>
        <w:rPr>
          <w:rFonts w:ascii="仿宋_GB2312" w:eastAsia="仿宋_GB2312" w:cs="仿宋_GB2312" w:hint="eastAsia"/>
          <w:sz w:val="32"/>
          <w:szCs w:val="32"/>
        </w:rPr>
        <w:t>1.攀枝花市民族宗教</w:t>
      </w:r>
      <w:bookmarkEnd w:id="23"/>
      <w:bookmarkEnd w:id="24"/>
      <w:bookmarkEnd w:id="25"/>
      <w:bookmarkEnd w:id="26"/>
      <w:r>
        <w:rPr>
          <w:rFonts w:ascii="仿宋_GB2312" w:eastAsia="仿宋_GB2312" w:cs="仿宋_GB2312" w:hint="eastAsia"/>
          <w:sz w:val="32"/>
          <w:szCs w:val="32"/>
        </w:rPr>
        <w:t>事务服务中心</w:t>
      </w:r>
    </w:p>
    <w:p>
      <w:pPr>
        <w:widowControl/>
        <w:jc w:val="left"/>
        <w:rPr>
          <w:rFonts w:ascii="仿宋" w:eastAsia="仿宋" w:hint="eastAsia"/>
          <w:kern w:val="0"/>
          <w:sz w:val="32"/>
          <w:szCs w:val="32"/>
        </w:rPr>
      </w:pPr>
      <w:r>
        <w:rPr>
          <w:rFonts w:ascii="仿宋" w:eastAsia="仿宋"/>
          <w:sz w:val="32"/>
          <w:szCs w:val="32"/>
        </w:rPr>
        <w:br w:type="page"/>
      </w:r>
    </w:p>
    <w:p>
      <w:pPr>
        <w:pStyle w:val="1"/>
        <w:ind w:right="440"/>
        <w:jc w:val="center"/>
        <w:rPr>
          <w:rStyle w:val="1Char"/>
          <w:rFonts w:ascii="黑体" w:eastAsia="黑体" w:hint="eastAsia"/>
          <w:b w:val="0"/>
          <w:bCs/>
        </w:rPr>
      </w:pPr>
      <w:bookmarkStart w:id="27" w:name="_Toc176901958"/>
      <w:bookmarkStart w:id="28" w:name="_Toc15377204"/>
      <w:bookmarkStart w:id="29" w:name="_Toc15396602"/>
      <w:r>
        <w:rPr>
          <w:rFonts w:ascii="黑体" w:eastAsia="黑体" w:hint="eastAsia"/>
          <w:b w:val="0"/>
        </w:rPr>
        <w:t>第二部分 2023年度单位</w:t>
      </w:r>
      <w:r>
        <w:rPr>
          <w:rStyle w:val="1Char"/>
          <w:rFonts w:ascii="黑体" w:eastAsia="黑体" w:hint="eastAsia"/>
          <w:b w:val="0"/>
          <w:bCs/>
        </w:rPr>
        <w:t>决算情况说明</w:t>
      </w:r>
      <w:bookmarkEnd w:id="27"/>
      <w:bookmarkEnd w:id="28"/>
      <w:bookmarkEnd w:id="29"/>
    </w:p>
    <w:p/>
    <w:p>
      <w:pPr>
        <w:pStyle w:val="2"/>
        <w:adjustRightInd w:val="0"/>
        <w:snapToGrid w:val="0"/>
        <w:spacing w:line="576" w:lineRule="exact"/>
        <w:ind w:firstLineChars="196" w:firstLine="627"/>
        <w:rPr>
          <w:rStyle w:val="2Char"/>
          <w:rFonts w:ascii="黑体" w:eastAsia="黑体" w:hint="eastAsia"/>
          <w:b/>
          <w:bCs w:val="0"/>
        </w:rPr>
      </w:pPr>
      <w:bookmarkStart w:id="30" w:name="_Toc176901959"/>
      <w:r>
        <w:rPr>
          <w:rFonts w:ascii="黑体" w:eastAsia="黑体" w:hint="eastAsia"/>
        </w:rPr>
        <w:t>一、</w:t>
      </w:r>
      <w:r>
        <w:rPr>
          <w:rFonts w:ascii="黑体" w:eastAsia="黑体" w:hint="eastAsia"/>
          <w:b w:val="0"/>
        </w:rPr>
        <w:t>收入支出决算总体情况说明</w:t>
      </w:r>
      <w:bookmarkEnd w:id="30"/>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drawing>
          <wp:anchor distT="0" distB="0" distL="114300" distR="114300" simplePos="0" relativeHeight="30" behindDoc="0" locked="0" layoutInCell="1" hidden="0" allowOverlap="1">
            <wp:simplePos x="0" y="0"/>
            <wp:positionH relativeFrom="column">
              <wp:posOffset>133350</wp:posOffset>
            </wp:positionH>
            <wp:positionV relativeFrom="paragraph">
              <wp:posOffset>1932304</wp:posOffset>
            </wp:positionV>
            <wp:extent cx="4895849" cy="1524000"/>
            <wp:effectExtent l="0" t="0" r="21" b="24"/>
            <wp:wrapSquare wrapText="bothSides"/>
            <wp:docPr id="1" name="对象 2"/>
            <wp:cNvGraphicFramePr>
              <a:graphicFrameLocks noChangeAspect="1"/>
            </wp:cNvGraphicFramePr>
            <a:graphic>
              <a:graphicData uri="http://schemas.openxmlformats.org/drawingml/2006/chart">
                <c:chart xmlns:c="http://schemas.openxmlformats.org/drawingml/2006/chart" r:id="rId5"/>
              </a:graphicData>
            </a:graphic>
          </wp:anchor>
        </w:drawing>
      </w:r>
      <w:r>
        <w:rPr>
          <w:rFonts w:ascii="仿宋_GB2312" w:eastAsia="仿宋_GB2312" w:hint="eastAsia"/>
          <w:sz w:val="32"/>
          <w:szCs w:val="32"/>
        </w:rPr>
        <w:t>2023年度收、支总计786.55万元。与2022年相比，全年预算收入增加了118.06万元，增长17.66%，全年执行预算支出比2022年增加了95.06万元，增长13.75%。主要变动原因是本年度新增了部分项目任务（包括创全国民族团结进步示范市等），项目资金增加了。</w:t>
      </w:r>
    </w:p>
    <w:p>
      <w:pPr>
        <w:adjustRightInd w:val="0"/>
        <w:snapToGrid w:val="0"/>
        <w:spacing w:line="576" w:lineRule="exact"/>
        <w:ind w:firstLineChars="200" w:firstLine="640"/>
        <w:rPr>
          <w:rFonts w:ascii="仿宋" w:eastAsia="仿宋" w:hint="eastAsia"/>
          <w:sz w:val="32"/>
          <w:szCs w:val="32"/>
        </w:rPr>
      </w:pPr>
      <w:r>
        <w:rPr>
          <w:rFonts w:ascii="仿宋" w:eastAsia="仿宋" w:hint="eastAsia"/>
          <w:sz w:val="32"/>
          <w:szCs w:val="32"/>
        </w:rPr>
        <w:t>（图</w:t>
      </w:r>
      <w:r>
        <w:rPr>
          <w:rFonts w:ascii="仿宋" w:eastAsia="仿宋"/>
          <w:sz w:val="32"/>
          <w:szCs w:val="32"/>
        </w:rPr>
        <w:t>1</w:t>
      </w:r>
      <w:r>
        <w:rPr>
          <w:rFonts w:ascii="仿宋" w:eastAsia="仿宋" w:hint="eastAsia"/>
          <w:sz w:val="32"/>
          <w:szCs w:val="32"/>
        </w:rPr>
        <w:t>：收、支决算总计变动情况图）（柱状图）</w:t>
      </w:r>
    </w:p>
    <w:p>
      <w:pPr>
        <w:pStyle w:val="2"/>
        <w:adjustRightInd w:val="0"/>
        <w:snapToGrid w:val="0"/>
        <w:spacing w:line="576" w:lineRule="exact"/>
        <w:ind w:firstLineChars="196" w:firstLine="627"/>
        <w:rPr>
          <w:rStyle w:val="35"/>
          <w:rFonts w:ascii="黑体" w:eastAsia="黑体" w:hint="eastAsia"/>
          <w:b/>
          <w:bCs w:val="0"/>
        </w:rPr>
      </w:pPr>
      <w:bookmarkStart w:id="31" w:name="_Toc15396604"/>
      <w:bookmarkStart w:id="32" w:name="_Toc15377206"/>
      <w:bookmarkStart w:id="33" w:name="_Toc176901960"/>
      <w:r>
        <w:rPr>
          <w:rFonts w:ascii="黑体" w:eastAsia="黑体" w:hint="eastAsia"/>
        </w:rPr>
        <w:t>二、收</w:t>
      </w:r>
      <w:r>
        <w:rPr>
          <w:rStyle w:val="35"/>
          <w:rFonts w:ascii="黑体" w:eastAsia="黑体" w:hint="eastAsia"/>
          <w:b w:val="0"/>
          <w:bCs w:val="0"/>
        </w:rPr>
        <w:t>入决算情况说明</w:t>
      </w:r>
      <w:bookmarkEnd w:id="31"/>
      <w:bookmarkEnd w:id="32"/>
      <w:bookmarkEnd w:id="33"/>
    </w:p>
    <w:p>
      <w:pPr>
        <w:adjustRightInd w:val="0"/>
        <w:snapToGrid w:val="0"/>
        <w:spacing w:line="576" w:lineRule="exact"/>
        <w:ind w:firstLineChars="200" w:firstLine="640"/>
        <w:rPr>
          <w:rFonts w:ascii="仿宋" w:eastAsia="仿宋" w:hint="eastAsia"/>
          <w:sz w:val="32"/>
          <w:szCs w:val="32"/>
        </w:rPr>
      </w:pPr>
      <w:r>
        <w:rPr>
          <w:rFonts w:ascii="仿宋_GB2312" w:eastAsia="仿宋_GB2312" w:hint="eastAsia"/>
          <w:sz w:val="32"/>
          <w:szCs w:val="32"/>
        </w:rPr>
        <w:t>2023年本年收入合计786.55万元，其中：一般公共预算财政拨款收入777.08万元，占98.8%；政府性基金预算财政拨款收入9.47万元，占1.2%；其他收入0万元，占0%</w:t>
      </w:r>
      <w:r>
        <w:rPr>
          <w:rFonts w:ascii="仿宋" w:eastAsia="仿宋" w:hint="eastAsia"/>
          <w:sz w:val="32"/>
          <w:szCs w:val="32"/>
        </w:rPr>
        <w:t>。</w:t>
      </w:r>
    </w:p>
    <w:p>
      <w:pPr>
        <w:adjustRightInd w:val="0"/>
        <w:snapToGrid w:val="0"/>
        <w:spacing w:line="576" w:lineRule="exact"/>
        <w:ind w:firstLineChars="200" w:firstLine="640"/>
        <w:outlineLvl w:val="1"/>
        <w:rPr>
          <w:rFonts w:ascii="仿宋" w:eastAsia="仿宋" w:hint="eastAsia"/>
          <w:sz w:val="32"/>
          <w:szCs w:val="32"/>
        </w:rPr>
      </w:pPr>
      <w:bookmarkStart w:id="34" w:name="_Toc176901229"/>
      <w:bookmarkStart w:id="35" w:name="_Toc176901890"/>
      <w:bookmarkStart w:id="36" w:name="_Toc176901961"/>
      <w:bookmarkStart w:id="37" w:name="_Toc176901084"/>
      <w:r>
        <w:rPr>
          <w:rFonts w:ascii="仿宋" w:eastAsia="仿宋" w:hint="eastAsia"/>
          <w:color w:val="000000"/>
          <w:sz w:val="32"/>
          <w:szCs w:val="32"/>
        </w:rPr>
        <w:drawing>
          <wp:anchor distT="0" distB="0" distL="114300" distR="114300" simplePos="0" relativeHeight="20" behindDoc="0" locked="0" layoutInCell="1" hidden="0" allowOverlap="1">
            <wp:simplePos x="0" y="0"/>
            <wp:positionH relativeFrom="column">
              <wp:posOffset>561975</wp:posOffset>
            </wp:positionH>
            <wp:positionV relativeFrom="paragraph">
              <wp:posOffset>83185</wp:posOffset>
            </wp:positionV>
            <wp:extent cx="4286250" cy="1209675"/>
            <wp:effectExtent l="0" t="0" r="30" b="19"/>
            <wp:wrapSquare wrapText="bothSides"/>
            <wp:docPr id="2" name="对象 2"/>
            <wp:cNvGraphicFramePr>
              <a:graphicFrameLocks noChangeAspect="1"/>
            </wp:cNvGraphicFramePr>
            <a:graphic>
              <a:graphicData uri="http://schemas.openxmlformats.org/drawingml/2006/chart">
                <c:chart xmlns:c="http://schemas.openxmlformats.org/drawingml/2006/chart" r:id="rId6"/>
              </a:graphicData>
            </a:graphic>
          </wp:anchor>
        </w:drawing>
      </w:r>
      <w:bookmarkEnd w:id="34"/>
      <w:bookmarkEnd w:id="35"/>
      <w:bookmarkEnd w:id="36"/>
      <w:bookmarkEnd w:id="37"/>
    </w:p>
    <w:p>
      <w:pPr>
        <w:adjustRightInd w:val="0"/>
        <w:snapToGrid w:val="0"/>
        <w:spacing w:line="576" w:lineRule="exact"/>
        <w:ind w:firstLineChars="200" w:firstLine="640"/>
        <w:rPr>
          <w:rFonts w:ascii="仿宋" w:eastAsia="仿宋" w:hint="eastAsia"/>
          <w:sz w:val="32"/>
          <w:szCs w:val="32"/>
        </w:rPr>
      </w:pPr>
    </w:p>
    <w:p>
      <w:pPr>
        <w:adjustRightInd w:val="0"/>
        <w:snapToGrid w:val="0"/>
        <w:spacing w:line="576" w:lineRule="exact"/>
        <w:rPr>
          <w:rFonts w:ascii="仿宋" w:eastAsia="仿宋" w:hint="eastAsia"/>
          <w:sz w:val="32"/>
          <w:szCs w:val="32"/>
        </w:rPr>
      </w:pPr>
    </w:p>
    <w:p>
      <w:pPr>
        <w:adjustRightInd w:val="0"/>
        <w:snapToGrid w:val="0"/>
        <w:spacing w:line="576" w:lineRule="exact"/>
        <w:ind w:firstLineChars="200" w:firstLine="640"/>
        <w:rPr>
          <w:rFonts w:ascii="仿宋" w:eastAsia="仿宋" w:hint="eastAsia"/>
          <w:sz w:val="32"/>
          <w:szCs w:val="32"/>
        </w:rPr>
      </w:pPr>
      <w:r>
        <w:rPr>
          <w:rFonts w:ascii="仿宋" w:eastAsia="仿宋" w:hint="eastAsia"/>
          <w:sz w:val="32"/>
          <w:szCs w:val="32"/>
        </w:rPr>
        <w:t>（图2：收入决算结构图）（饼状图）</w:t>
      </w:r>
    </w:p>
    <w:p>
      <w:pPr>
        <w:pStyle w:val="2"/>
        <w:adjustRightInd w:val="0"/>
        <w:snapToGrid w:val="0"/>
        <w:spacing w:line="576" w:lineRule="exact"/>
        <w:ind w:firstLineChars="196" w:firstLine="627"/>
        <w:rPr>
          <w:rStyle w:val="35"/>
          <w:rFonts w:ascii="黑体" w:eastAsia="黑体" w:hint="eastAsia"/>
          <w:b/>
          <w:bCs w:val="0"/>
        </w:rPr>
      </w:pPr>
      <w:bookmarkStart w:id="38" w:name="_Toc176901962"/>
      <w:bookmarkStart w:id="39" w:name="_Toc15396605"/>
      <w:bookmarkStart w:id="40" w:name="_Toc15377207"/>
      <w:r>
        <w:rPr>
          <w:rFonts w:ascii="黑体" w:eastAsia="黑体" w:hint="eastAsia"/>
        </w:rPr>
        <w:t>三、支</w:t>
      </w:r>
      <w:r>
        <w:rPr>
          <w:rStyle w:val="35"/>
          <w:rFonts w:ascii="黑体" w:eastAsia="黑体" w:hint="eastAsia"/>
          <w:b w:val="0"/>
          <w:bCs w:val="0"/>
        </w:rPr>
        <w:t>出决算情况说明</w:t>
      </w:r>
      <w:bookmarkEnd w:id="38"/>
      <w:bookmarkEnd w:id="39"/>
      <w:bookmarkEnd w:id="40"/>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t>2023年本年支出合计786.55万元，其中：基本支出586.88万元，占74.61%；项目支出199.67万元，占25.39%。</w:t>
      </w:r>
    </w:p>
    <w:p>
      <w:pPr>
        <w:adjustRightInd w:val="0"/>
        <w:snapToGrid w:val="0"/>
        <w:spacing w:line="576" w:lineRule="exact"/>
      </w:pPr>
      <w:r>
        <w:drawing>
          <wp:anchor distT="0" distB="0" distL="114300" distR="114300" simplePos="0" relativeHeight="22" behindDoc="0" locked="0" layoutInCell="1" hidden="0" allowOverlap="1">
            <wp:simplePos x="0" y="0"/>
            <wp:positionH relativeFrom="column">
              <wp:posOffset>400050</wp:posOffset>
            </wp:positionH>
            <wp:positionV relativeFrom="paragraph">
              <wp:posOffset>178435</wp:posOffset>
            </wp:positionV>
            <wp:extent cx="4229100" cy="1419225"/>
            <wp:effectExtent l="0" t="0" r="0" b="0"/>
            <wp:wrapTight wrapText="bothSides">
              <wp:wrapPolygon>
                <wp:start x="0" y="-39"/>
                <wp:lineTo x="0" y="21560"/>
                <wp:lineTo x="21599" y="21560"/>
                <wp:lineTo x="21599" y="-39"/>
                <wp:lineTo x="0" y="-39"/>
              </wp:wrapPolygon>
            </wp:wrapTight>
            <wp:docPr id="3" name="对象 9"/>
            <wp:cNvGraphicFramePr>
              <a:graphicFrameLocks noChangeAspect="1"/>
            </wp:cNvGraphicFramePr>
            <a:graphic>
              <a:graphicData uri="http://schemas.openxmlformats.org/drawingml/2006/chart">
                <c:chart xmlns:c="http://schemas.openxmlformats.org/drawingml/2006/chart" r:id="rId7"/>
              </a:graphicData>
            </a:graphic>
          </wp:anchor>
        </w:drawing>
      </w:r>
    </w:p>
    <w:p>
      <w:pPr>
        <w:adjustRightInd w:val="0"/>
        <w:snapToGrid w:val="0"/>
        <w:spacing w:line="576" w:lineRule="exact"/>
      </w:pPr>
    </w:p>
    <w:p>
      <w:pPr>
        <w:adjustRightInd w:val="0"/>
        <w:snapToGrid w:val="0"/>
        <w:spacing w:line="576" w:lineRule="exact"/>
      </w:pPr>
    </w:p>
    <w:p>
      <w:pPr>
        <w:adjustRightInd w:val="0"/>
        <w:snapToGrid w:val="0"/>
        <w:spacing w:line="576" w:lineRule="exact"/>
      </w:pPr>
    </w:p>
    <w:p>
      <w:pPr>
        <w:adjustRightInd w:val="0"/>
        <w:snapToGrid w:val="0"/>
        <w:spacing w:line="576" w:lineRule="exact"/>
        <w:ind w:firstLineChars="200" w:firstLine="640"/>
      </w:pPr>
      <w:r>
        <w:rPr>
          <w:rFonts w:ascii="仿宋" w:eastAsia="仿宋" w:hint="eastAsia"/>
          <w:sz w:val="32"/>
          <w:szCs w:val="32"/>
        </w:rPr>
        <w:t>（图3：支出决算结构图）（饼状图）</w:t>
      </w:r>
    </w:p>
    <w:p>
      <w:pPr>
        <w:pStyle w:val="2"/>
        <w:adjustRightInd w:val="0"/>
        <w:snapToGrid w:val="0"/>
        <w:spacing w:line="576" w:lineRule="exact"/>
        <w:ind w:firstLineChars="196" w:firstLine="627"/>
        <w:rPr>
          <w:rStyle w:val="35"/>
          <w:rFonts w:ascii="黑体" w:eastAsia="黑体" w:hint="eastAsia"/>
          <w:b w:val="0"/>
          <w:bCs w:val="0"/>
        </w:rPr>
      </w:pPr>
      <w:bookmarkStart w:id="41" w:name="_Toc176901963"/>
      <w:bookmarkStart w:id="42" w:name="_Toc15396606"/>
      <w:bookmarkStart w:id="43" w:name="_Toc15377208"/>
      <w:r>
        <w:rPr>
          <w:rFonts w:ascii="黑体" w:eastAsia="黑体" w:hint="eastAsia"/>
          <w:b w:val="0"/>
        </w:rPr>
        <w:t>四、</w:t>
      </w:r>
      <w:r>
        <w:rPr>
          <w:rFonts w:ascii="黑体" w:eastAsia="黑体" w:hint="eastAsia"/>
        </w:rPr>
        <w:t>财</w:t>
      </w:r>
      <w:r>
        <w:rPr>
          <w:rStyle w:val="35"/>
          <w:rFonts w:ascii="黑体" w:eastAsia="黑体" w:hint="eastAsia"/>
          <w:b w:val="0"/>
          <w:bCs w:val="0"/>
        </w:rPr>
        <w:t>政拨款收入支出决算总体情况说明</w:t>
      </w:r>
      <w:bookmarkEnd w:id="41"/>
      <w:bookmarkEnd w:id="42"/>
      <w:bookmarkEnd w:id="43"/>
    </w:p>
    <w:p>
      <w:pPr>
        <w:adjustRightInd w:val="0"/>
        <w:snapToGrid w:val="0"/>
        <w:spacing w:line="576" w:lineRule="exact"/>
        <w:ind w:firstLine="640"/>
        <w:rPr>
          <w:rFonts w:ascii="仿宋" w:eastAsia="仿宋" w:hint="eastAsia"/>
          <w:sz w:val="32"/>
          <w:szCs w:val="32"/>
        </w:rPr>
      </w:pPr>
      <w:r>
        <w:rPr>
          <w:rFonts w:ascii="仿宋_GB2312" w:eastAsia="仿宋_GB2312" w:hint="eastAsia"/>
          <w:sz w:val="32"/>
          <w:szCs w:val="32"/>
        </w:rPr>
        <w:t>2023年财政拨款收、支总计786.55万元。与2022年相比，财政拨款收、支总计均增加了95.05万元，增长13.75%。主要变动原因是本年度新增了部分项目任务（包括创全国民族团结进步示范市等），项目资金收支增加了</w:t>
      </w:r>
      <w:r>
        <w:rPr>
          <w:rFonts w:ascii="仿宋" w:eastAsia="仿宋" w:hint="eastAsia"/>
          <w:sz w:val="32"/>
          <w:szCs w:val="32"/>
        </w:rPr>
        <w:t>。</w:t>
      </w:r>
    </w:p>
    <w:p>
      <w:pPr>
        <w:adjustRightInd w:val="0"/>
        <w:snapToGrid w:val="0"/>
        <w:spacing w:line="576" w:lineRule="exact"/>
        <w:ind w:firstLineChars="200" w:firstLine="640"/>
        <w:rPr>
          <w:rFonts w:ascii="仿宋" w:eastAsia="仿宋" w:hint="eastAsia"/>
          <w:sz w:val="32"/>
          <w:szCs w:val="32"/>
        </w:rPr>
      </w:pPr>
      <w:r>
        <w:rPr>
          <w:rFonts w:ascii="黑体" w:eastAsia="黑体" w:hint="eastAsia"/>
          <w:color w:val="000000"/>
          <w:sz w:val="32"/>
          <w:szCs w:val="32"/>
        </w:rPr>
        <w:drawing>
          <wp:anchor distT="0" distB="0" distL="114300" distR="114300" simplePos="0" relativeHeight="24" behindDoc="0" locked="0" layoutInCell="1" hidden="0" allowOverlap="1">
            <wp:simplePos x="0" y="0"/>
            <wp:positionH relativeFrom="column">
              <wp:posOffset>590550</wp:posOffset>
            </wp:positionH>
            <wp:positionV relativeFrom="paragraph">
              <wp:posOffset>92075</wp:posOffset>
            </wp:positionV>
            <wp:extent cx="4362450" cy="1714500"/>
            <wp:effectExtent l="0" t="0" r="0" b="0"/>
            <wp:wrapTight wrapText="bothSides">
              <wp:wrapPolygon>
                <wp:start x="0" y="-1"/>
                <wp:lineTo x="0" y="21598"/>
                <wp:lineTo x="21599" y="21598"/>
                <wp:lineTo x="21599" y="-1"/>
                <wp:lineTo x="0" y="-1"/>
              </wp:wrapPolygon>
            </wp:wrapTight>
            <wp:docPr id="4" name="对象 2"/>
            <wp:cNvGraphicFramePr>
              <a:graphicFrameLocks noChangeAspect="1"/>
            </wp:cNvGraphicFramePr>
            <a:graphic>
              <a:graphicData uri="http://schemas.openxmlformats.org/drawingml/2006/chart">
                <c:chart xmlns:c="http://schemas.openxmlformats.org/drawingml/2006/chart" r:id="rId8"/>
              </a:graphicData>
            </a:graphic>
          </wp:anchor>
        </w:drawing>
      </w:r>
    </w:p>
    <w:p>
      <w:pPr>
        <w:adjustRightInd w:val="0"/>
        <w:snapToGrid w:val="0"/>
        <w:spacing w:line="576" w:lineRule="exact"/>
        <w:ind w:firstLineChars="200" w:firstLine="640"/>
        <w:rPr>
          <w:rFonts w:ascii="仿宋" w:eastAsia="仿宋" w:hint="eastAsia"/>
          <w:sz w:val="32"/>
          <w:szCs w:val="32"/>
        </w:rPr>
      </w:pPr>
    </w:p>
    <w:p>
      <w:pPr>
        <w:adjustRightInd w:val="0"/>
        <w:snapToGrid w:val="0"/>
        <w:spacing w:line="576" w:lineRule="exact"/>
        <w:ind w:firstLineChars="200" w:firstLine="640"/>
        <w:rPr>
          <w:rFonts w:ascii="仿宋" w:eastAsia="仿宋" w:hint="eastAsia"/>
          <w:sz w:val="32"/>
          <w:szCs w:val="32"/>
        </w:rPr>
      </w:pPr>
    </w:p>
    <w:p>
      <w:pPr>
        <w:adjustRightInd w:val="0"/>
        <w:snapToGrid w:val="0"/>
        <w:spacing w:line="576" w:lineRule="exact"/>
        <w:ind w:firstLineChars="200" w:firstLine="640"/>
        <w:rPr>
          <w:rFonts w:ascii="仿宋" w:eastAsia="仿宋" w:hint="eastAsia"/>
          <w:sz w:val="32"/>
          <w:szCs w:val="32"/>
        </w:rPr>
      </w:pPr>
    </w:p>
    <w:p>
      <w:pPr>
        <w:adjustRightInd w:val="0"/>
        <w:snapToGrid w:val="0"/>
        <w:spacing w:line="576" w:lineRule="exact"/>
        <w:rPr>
          <w:rFonts w:ascii="仿宋" w:eastAsia="仿宋" w:hint="eastAsia"/>
          <w:sz w:val="32"/>
          <w:szCs w:val="32"/>
        </w:rPr>
      </w:pPr>
    </w:p>
    <w:p>
      <w:pPr>
        <w:adjustRightInd w:val="0"/>
        <w:snapToGrid w:val="0"/>
        <w:spacing w:line="576" w:lineRule="exact"/>
        <w:ind w:firstLineChars="200" w:firstLine="640"/>
        <w:rPr>
          <w:rFonts w:ascii="仿宋" w:eastAsia="仿宋" w:hint="eastAsia"/>
          <w:sz w:val="32"/>
          <w:szCs w:val="32"/>
        </w:rPr>
      </w:pPr>
      <w:r>
        <w:rPr>
          <w:rFonts w:ascii="仿宋" w:eastAsia="仿宋" w:hint="eastAsia"/>
          <w:sz w:val="32"/>
          <w:szCs w:val="32"/>
        </w:rPr>
        <w:t>（图4：财政拨款收、支决算总计变动情况）（柱状图）</w:t>
      </w:r>
    </w:p>
    <w:p>
      <w:pPr>
        <w:pStyle w:val="2"/>
        <w:adjustRightInd w:val="0"/>
        <w:snapToGrid w:val="0"/>
        <w:spacing w:line="576" w:lineRule="exact"/>
        <w:ind w:firstLineChars="200" w:firstLine="640"/>
        <w:rPr>
          <w:rStyle w:val="35"/>
          <w:rFonts w:ascii="黑体" w:eastAsia="黑体" w:hint="eastAsia"/>
          <w:b/>
          <w:bCs w:val="0"/>
        </w:rPr>
      </w:pPr>
      <w:bookmarkStart w:id="44" w:name="_Toc15377209"/>
      <w:bookmarkStart w:id="45" w:name="_Toc176901964"/>
      <w:bookmarkStart w:id="46" w:name="_Toc15396607"/>
      <w:r>
        <w:rPr>
          <w:rFonts w:ascii="黑体" w:eastAsia="黑体" w:hint="eastAsia"/>
          <w:b w:val="0"/>
        </w:rPr>
        <w:t>五、</w:t>
      </w:r>
      <w:r>
        <w:rPr>
          <w:rFonts w:ascii="黑体" w:eastAsia="黑体" w:hint="eastAsia"/>
        </w:rPr>
        <w:t>一</w:t>
      </w:r>
      <w:r>
        <w:rPr>
          <w:rStyle w:val="35"/>
          <w:rFonts w:ascii="黑体" w:eastAsia="黑体" w:hint="eastAsia"/>
          <w:b w:val="0"/>
          <w:bCs w:val="0"/>
        </w:rPr>
        <w:t>般公共预算财政拨款支出决算情况说明</w:t>
      </w:r>
      <w:bookmarkEnd w:id="44"/>
      <w:bookmarkEnd w:id="45"/>
      <w:bookmarkEnd w:id="46"/>
    </w:p>
    <w:p>
      <w:pPr>
        <w:pStyle w:val="3"/>
        <w:ind w:firstLineChars="200" w:firstLine="640"/>
        <w:rPr>
          <w:rFonts w:ascii="楷体_GB2312" w:eastAsia="楷体_GB2312"/>
        </w:rPr>
      </w:pPr>
      <w:bookmarkStart w:id="47" w:name="_Toc176901965"/>
      <w:bookmarkStart w:id="48" w:name="_Toc15377210"/>
      <w:r>
        <w:rPr>
          <w:rFonts w:ascii="楷体_GB2312" w:eastAsia="楷体_GB2312" w:hint="eastAsia"/>
        </w:rPr>
        <w:t>（一）一般公共预算财政拨款支出决算总体情况</w:t>
      </w:r>
      <w:bookmarkEnd w:id="47"/>
      <w:bookmarkEnd w:id="48"/>
    </w:p>
    <w:p>
      <w:pPr>
        <w:adjustRightInd w:val="0"/>
        <w:snapToGrid w:val="0"/>
        <w:spacing w:line="576" w:lineRule="exact"/>
        <w:ind w:firstLineChars="200" w:firstLine="640"/>
        <w:rPr>
          <w:rFonts w:ascii="仿宋_GB2312" w:eastAsia="仿宋_GB2312" w:hint="eastAsia"/>
          <w:sz w:val="32"/>
          <w:szCs w:val="32"/>
        </w:rPr>
      </w:pPr>
      <w:r>
        <w:rPr>
          <w:rFonts w:ascii="仿宋_GB2312" w:eastAsia="仿宋_GB2312" w:hint="eastAsia"/>
          <w:sz w:val="32"/>
          <w:szCs w:val="32"/>
        </w:rPr>
        <w:drawing>
          <wp:anchor distT="0" distB="0" distL="114300" distR="114300" simplePos="0" relativeHeight="26" behindDoc="0" locked="0" layoutInCell="1" hidden="0" allowOverlap="1">
            <wp:simplePos x="0" y="0"/>
            <wp:positionH relativeFrom="column">
              <wp:posOffset>-19050</wp:posOffset>
            </wp:positionH>
            <wp:positionV relativeFrom="paragraph">
              <wp:posOffset>1981835</wp:posOffset>
            </wp:positionV>
            <wp:extent cx="5610224" cy="1419225"/>
            <wp:effectExtent l="0" t="0" r="11" b="22"/>
            <wp:wrapSquare wrapText="bothSides"/>
            <wp:docPr id="5" name="对象 2"/>
            <wp:cNvGraphicFramePr>
              <a:graphicFrameLocks noChangeAspect="1"/>
            </wp:cNvGraphicFramePr>
            <a:graphic>
              <a:graphicData uri="http://schemas.openxmlformats.org/drawingml/2006/chart">
                <c:chart xmlns:c="http://schemas.openxmlformats.org/drawingml/2006/chart" r:id="rId9"/>
              </a:graphicData>
            </a:graphic>
          </wp:anchor>
        </w:drawing>
      </w:r>
      <w:r>
        <w:rPr>
          <w:rFonts w:ascii="仿宋_GB2312" w:eastAsia="仿宋_GB2312" w:hint="eastAsia"/>
          <w:sz w:val="32"/>
          <w:szCs w:val="32"/>
        </w:rPr>
        <w:t>2023年一般公共预算财政拨款支出777.09万元，占本年支出合计的98.8%。与2022年相比，一般公共预算财政拨款支出增加85.61万元，增长12.38%。主要变动原因是新增了部分项目任务（包括创全国民族团结进步示范市等），项目资金收支增加了。</w:t>
      </w:r>
    </w:p>
    <w:p>
      <w:pPr>
        <w:adjustRightInd w:val="0"/>
        <w:snapToGrid w:val="0"/>
        <w:spacing w:line="576" w:lineRule="exact"/>
        <w:ind w:firstLineChars="200" w:firstLine="640"/>
        <w:rPr>
          <w:rFonts w:ascii="仿宋" w:eastAsia="仿宋" w:hint="eastAsia"/>
          <w:sz w:val="32"/>
          <w:szCs w:val="32"/>
        </w:rPr>
      </w:pPr>
      <w:r>
        <w:rPr>
          <w:rFonts w:ascii="仿宋" w:eastAsia="仿宋" w:hint="eastAsia"/>
          <w:sz w:val="32"/>
          <w:szCs w:val="32"/>
        </w:rPr>
        <w:t>（图5：一般公共预算财政拨款支出决算变动情况）（柱状图）</w:t>
      </w:r>
    </w:p>
    <w:p>
      <w:pPr>
        <w:pStyle w:val="3"/>
        <w:ind w:firstLineChars="200" w:firstLine="640"/>
        <w:rPr>
          <w:rFonts w:ascii="楷体_GB2312" w:eastAsia="楷体_GB2312"/>
        </w:rPr>
      </w:pPr>
      <w:bookmarkStart w:id="49" w:name="_Toc176901966"/>
      <w:bookmarkStart w:id="50" w:name="_Toc15377211"/>
      <w:r>
        <w:rPr>
          <w:rFonts w:ascii="楷体_GB2312" w:eastAsia="楷体_GB2312" w:hint="eastAsia"/>
        </w:rPr>
        <w:t>（二）一般公共预算财政拨款支出决算结构情况</w:t>
      </w:r>
      <w:bookmarkEnd w:id="49"/>
      <w:bookmarkEnd w:id="50"/>
    </w:p>
    <w:p>
      <w:pPr>
        <w:adjustRightInd w:val="0"/>
        <w:snapToGrid w:val="0"/>
        <w:spacing w:line="576" w:lineRule="exact"/>
        <w:ind w:firstLine="640"/>
        <w:rPr>
          <w:rFonts w:ascii="仿宋_GB2312" w:eastAsia="仿宋_GB2312" w:hint="eastAsia"/>
          <w:sz w:val="32"/>
          <w:szCs w:val="32"/>
        </w:rPr>
      </w:pPr>
      <w:r>
        <w:rPr>
          <w:rFonts w:ascii="仿宋_GB2312" w:eastAsia="仿宋_GB2312" w:hint="eastAsia"/>
          <w:sz w:val="32"/>
          <w:szCs w:val="32"/>
        </w:rPr>
        <w:t>2023年一般公共预算财政拨款支出777.09万元，主要用于以下方面:一般公共服务支出520.06万元，占66.92%；社会保障和就业支出167.23万元，占21.52%；卫生健康支出26.9万元，占3.46%；农林水支出28.43万元，占3.66%；住房保障支出34.47万元，占4.44%。</w:t>
      </w:r>
    </w:p>
    <w:p>
      <w:pPr>
        <w:adjustRightInd w:val="0"/>
        <w:snapToGrid w:val="0"/>
        <w:spacing w:line="576" w:lineRule="exact"/>
        <w:ind w:firstLineChars="200" w:firstLine="640"/>
        <w:outlineLvl w:val="2"/>
        <w:rPr>
          <w:rFonts w:ascii="仿宋" w:eastAsia="仿宋" w:hint="eastAsia"/>
          <w:sz w:val="32"/>
          <w:szCs w:val="32"/>
        </w:rPr>
      </w:pPr>
      <w:bookmarkStart w:id="51" w:name="_Toc176901090"/>
      <w:bookmarkStart w:id="52" w:name="_Toc176901967"/>
      <w:bookmarkStart w:id="53" w:name="_Toc176901235"/>
      <w:bookmarkStart w:id="54" w:name="_Toc176901896"/>
      <w:bookmarkStart w:id="55" w:name="_Toc15377212"/>
      <w:r>
        <w:rPr>
          <w:rFonts w:ascii="仿宋" w:eastAsia="仿宋" w:hint="eastAsia"/>
          <w:sz w:val="32"/>
          <w:szCs w:val="32"/>
        </w:rPr>
        <w:drawing>
          <wp:anchor distT="0" distB="0" distL="114300" distR="114300" simplePos="0" relativeHeight="28" behindDoc="0" locked="0" layoutInCell="1" hidden="0" allowOverlap="0">
            <wp:simplePos x="0" y="0"/>
            <wp:positionH relativeFrom="column">
              <wp:posOffset>38100</wp:posOffset>
            </wp:positionH>
            <wp:positionV relativeFrom="paragraph">
              <wp:posOffset>219075</wp:posOffset>
            </wp:positionV>
            <wp:extent cx="4876800" cy="1219200"/>
            <wp:effectExtent l="0" t="0" r="21" b="19"/>
            <wp:wrapSquare wrapText="bothSides"/>
            <wp:docPr id="6" name="对象 2"/>
            <wp:cNvGraphicFramePr>
              <a:graphicFrameLocks noChangeAspect="1"/>
            </wp:cNvGraphicFramePr>
            <a:graphic>
              <a:graphicData uri="http://schemas.openxmlformats.org/drawingml/2006/chart">
                <c:chart xmlns:c="http://schemas.openxmlformats.org/drawingml/2006/chart" r:id="rId10"/>
              </a:graphicData>
            </a:graphic>
          </wp:anchor>
        </w:drawing>
      </w:r>
      <w:bookmarkEnd w:id="51"/>
      <w:bookmarkEnd w:id="52"/>
      <w:bookmarkEnd w:id="53"/>
      <w:bookmarkEnd w:id="54"/>
    </w:p>
    <w:p>
      <w:pPr>
        <w:adjustRightInd w:val="0"/>
        <w:snapToGrid w:val="0"/>
        <w:spacing w:line="576" w:lineRule="exact"/>
        <w:outlineLvl w:val="2"/>
        <w:rPr>
          <w:rFonts w:ascii="仿宋" w:eastAsia="仿宋" w:hint="eastAsia"/>
          <w:sz w:val="32"/>
          <w:szCs w:val="32"/>
        </w:rPr>
      </w:pPr>
    </w:p>
    <w:p>
      <w:pPr>
        <w:adjustRightInd w:val="0"/>
        <w:snapToGrid w:val="0"/>
        <w:spacing w:line="576" w:lineRule="exact"/>
        <w:ind w:firstLineChars="200" w:firstLine="640"/>
        <w:outlineLvl w:val="2"/>
        <w:rPr>
          <w:rFonts w:ascii="仿宋" w:eastAsia="仿宋" w:hint="eastAsia"/>
          <w:b/>
          <w:sz w:val="32"/>
          <w:szCs w:val="32"/>
        </w:rPr>
      </w:pPr>
      <w:bookmarkStart w:id="56" w:name="_Toc176901091"/>
      <w:bookmarkStart w:id="57" w:name="_Toc176901236"/>
      <w:bookmarkStart w:id="58" w:name="_Toc176901897"/>
      <w:bookmarkStart w:id="59" w:name="_Toc176901968"/>
      <w:r>
        <w:rPr>
          <w:rFonts w:ascii="仿宋" w:eastAsia="仿宋" w:hint="eastAsia"/>
          <w:sz w:val="32"/>
          <w:szCs w:val="32"/>
        </w:rPr>
        <w:t>（图6：一般公共预算财政拨款支出决算结构）（饼状图）</w:t>
      </w:r>
      <w:bookmarkEnd w:id="56"/>
      <w:bookmarkEnd w:id="57"/>
      <w:bookmarkEnd w:id="58"/>
      <w:bookmarkEnd w:id="59"/>
    </w:p>
    <w:p>
      <w:pPr>
        <w:pStyle w:val="3"/>
        <w:ind w:firstLineChars="200" w:firstLine="640"/>
        <w:rPr>
          <w:rFonts w:ascii="楷体_GB2312" w:eastAsia="楷体_GB2312"/>
        </w:rPr>
      </w:pPr>
      <w:bookmarkStart w:id="60" w:name="_Toc176901969"/>
      <w:r>
        <w:rPr>
          <w:rFonts w:ascii="楷体_GB2312" w:eastAsia="楷体_GB2312" w:hint="eastAsia"/>
        </w:rPr>
        <w:t>（三）一般公共预算财政拨款支出决算具体情况</w:t>
      </w:r>
      <w:bookmarkEnd w:id="55"/>
      <w:bookmarkEnd w:id="60"/>
    </w:p>
    <w:p>
      <w:pPr>
        <w:adjustRightInd w:val="0"/>
        <w:snapToGrid w:val="0"/>
        <w:spacing w:line="576" w:lineRule="exact"/>
        <w:ind w:firstLineChars="200" w:firstLine="640"/>
        <w:rPr>
          <w:rFonts w:ascii="仿宋_GB2312" w:eastAsia="仿宋_GB2312" w:hint="eastAsia"/>
          <w:color w:val="000000"/>
          <w:sz w:val="32"/>
          <w:szCs w:val="32"/>
        </w:rPr>
      </w:pPr>
      <w:bookmarkStart w:id="61" w:name="_Toc15378460"/>
      <w:bookmarkStart w:id="62" w:name="_Toc15377213"/>
      <w:bookmarkStart w:id="63" w:name="_Toc15377444"/>
      <w:r>
        <w:rPr>
          <w:rFonts w:ascii="仿宋_GB2312" w:eastAsia="仿宋_GB2312" w:hint="eastAsia"/>
          <w:color w:val="000000"/>
          <w:sz w:val="32"/>
          <w:szCs w:val="32"/>
        </w:rPr>
        <w:t>2023年一般公共预算支出决算数为777.09，完成预算100%。其中：</w:t>
      </w:r>
      <w:bookmarkEnd w:id="61"/>
      <w:bookmarkEnd w:id="62"/>
      <w:bookmarkEnd w:id="63"/>
    </w:p>
    <w:p>
      <w:pPr>
        <w:adjustRightInd w:val="0"/>
        <w:snapToGrid w:val="0"/>
        <w:spacing w:line="576" w:lineRule="exact"/>
        <w:ind w:firstLineChars="200" w:firstLine="640"/>
        <w:rPr>
          <w:rFonts w:ascii="仿宋_GB2312" w:eastAsia="仿宋_GB2312" w:hint="eastAsia"/>
          <w:b/>
          <w:sz w:val="32"/>
          <w:szCs w:val="32"/>
        </w:rPr>
      </w:pPr>
      <w:r>
        <w:rPr>
          <w:rFonts w:ascii="仿宋_GB2312" w:eastAsia="仿宋_GB2312" w:hint="eastAsia"/>
          <w:color w:val="000000"/>
          <w:sz w:val="32"/>
          <w:szCs w:val="32"/>
        </w:rPr>
        <w:t>1.一般公共服务支出（类）民族事务（款）行政运行（项）</w:t>
      </w:r>
      <w:r>
        <w:rPr>
          <w:rStyle w:val="25"/>
          <w:rFonts w:ascii="仿宋_GB2312" w:eastAsia="仿宋_GB2312" w:hint="eastAsia"/>
          <w:bCs/>
          <w:sz w:val="32"/>
          <w:szCs w:val="32"/>
        </w:rPr>
        <w:t>:</w:t>
      </w:r>
      <w:r>
        <w:rPr>
          <w:rStyle w:val="25"/>
          <w:rFonts w:ascii="仿宋_GB2312" w:eastAsia="仿宋_GB2312" w:hint="eastAsia"/>
          <w:b w:val="0"/>
          <w:bCs/>
          <w:sz w:val="32"/>
          <w:szCs w:val="32"/>
        </w:rPr>
        <w:t>支出决算为252.99万元，完成预算100%。</w:t>
      </w:r>
    </w:p>
    <w:p>
      <w:pPr>
        <w:adjustRightInd w:val="0"/>
        <w:snapToGrid w:val="0"/>
        <w:spacing w:line="576" w:lineRule="exact"/>
        <w:ind w:firstLineChars="300" w:firstLine="960"/>
        <w:rPr>
          <w:rFonts w:ascii="仿宋_GB2312" w:eastAsia="仿宋_GB2312" w:hint="eastAsia"/>
          <w:color w:val="000000"/>
          <w:sz w:val="32"/>
          <w:szCs w:val="32"/>
        </w:rPr>
      </w:pPr>
      <w:r>
        <w:rPr>
          <w:rFonts w:ascii="仿宋_GB2312" w:eastAsia="仿宋_GB2312" w:hint="eastAsia"/>
          <w:color w:val="000000"/>
          <w:sz w:val="32"/>
          <w:szCs w:val="32"/>
        </w:rPr>
        <w:t>一般公共服务支出（类）民族事务（款）事业运行（项）：支出决算为105.3万元，完成预算100%。</w:t>
      </w:r>
    </w:p>
    <w:p>
      <w:pPr>
        <w:adjustRightInd w:val="0"/>
        <w:snapToGrid w:val="0"/>
        <w:spacing w:line="576" w:lineRule="exact"/>
        <w:ind w:firstLineChars="300" w:firstLine="960"/>
        <w:rPr>
          <w:rFonts w:ascii="仿宋_GB2312" w:eastAsia="仿宋_GB2312" w:hint="eastAsia"/>
          <w:color w:val="000000"/>
          <w:sz w:val="32"/>
          <w:szCs w:val="32"/>
        </w:rPr>
      </w:pPr>
      <w:r>
        <w:rPr>
          <w:rFonts w:ascii="仿宋_GB2312" w:eastAsia="仿宋_GB2312" w:hint="eastAsia"/>
          <w:color w:val="000000"/>
          <w:sz w:val="32"/>
          <w:szCs w:val="32"/>
        </w:rPr>
        <w:t>一般公共服务支出（类）民族事务（款）其他民族事务支出（项）：支出决算为161.77万元，完成预算100%。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2.社会保障和就业支出（类）行政事业单位养老支出（款）行政单位离退休（项）：支出决算数为60.96万元，完成预算100%。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社会保障和就业支出（类）行政事业单位养老支出（款）事业单位离退休（项）：支出决算数为10.59万元，完成预算100%。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社会保障和就业支出（类）行政事业单位养老支出（款）机关事业单位基本养老保险缴费支出（项）：支出决算数为48.68万元，完成预算100%。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社会保障和就业支出（类）行政事业单位养老支出（款）机关事业单位职业年金缴费支出（项）：支出决算数为20.13万元，完成预算100%。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社会保障和就业支出（类）抚恤（款）死亡抚恤（项）：支出决算数为26.87万元，完成预算100%。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3.</w:t>
      </w:r>
      <w:r>
        <w:rPr>
          <w:rFonts w:ascii="仿宋_GB2312" w:eastAsia="仿宋_GB2312" w:hint="eastAsia"/>
        </w:rPr>
        <w:t xml:space="preserve"> </w:t>
      </w:r>
      <w:r>
        <w:rPr>
          <w:rFonts w:ascii="仿宋_GB2312" w:eastAsia="仿宋_GB2312" w:hint="eastAsia"/>
          <w:color w:val="000000"/>
          <w:sz w:val="32"/>
          <w:szCs w:val="32"/>
        </w:rPr>
        <w:t>卫生健康支出（类）行政事业单位医疗（款）行政单位医疗（项）：支出决算数为14.98万元，完成预算100%。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卫生健康支出（类）行政事业单位医疗（款）事业单位医疗（项）：支出决算数为6.71万元，完成预算100%。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卫生健康支出（类）行政事业单位医疗（款）公务员医疗补助（项）：支出决算数为2.41万元，完成预算100%。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卫生健康支出（类）行政事业单位医疗（款）其他行政事业单位医疗支出（项）：支出决算数为2.8万元，完成预算100%。</w:t>
      </w:r>
    </w:p>
    <w:p>
      <w:pPr>
        <w:adjustRightInd w:val="0"/>
        <w:snapToGrid w:val="0"/>
        <w:spacing w:line="576" w:lineRule="exact"/>
        <w:ind w:firstLineChars="200" w:firstLine="640"/>
        <w:rPr>
          <w:rFonts w:ascii="仿宋_GB2312" w:eastAsia="仿宋_GB2312" w:hint="eastAsia"/>
          <w:color w:val="000000"/>
          <w:sz w:val="32"/>
          <w:szCs w:val="32"/>
        </w:rPr>
      </w:pPr>
      <w:r>
        <w:rPr>
          <w:rFonts w:ascii="仿宋_GB2312" w:eastAsia="仿宋_GB2312" w:hint="eastAsia"/>
          <w:color w:val="000000"/>
          <w:sz w:val="32"/>
          <w:szCs w:val="32"/>
        </w:rPr>
        <w:t>4.农林水支出（类）农业农村（款）其他农业农村支出（项）: 支出决算数为28.43万元，完成预算100%。</w:t>
      </w:r>
    </w:p>
    <w:p>
      <w:pPr>
        <w:adjustRightInd w:val="0"/>
        <w:snapToGrid w:val="0"/>
        <w:spacing w:line="576" w:lineRule="exact"/>
        <w:ind w:firstLineChars="200" w:firstLine="640"/>
        <w:rPr>
          <w:rFonts w:ascii="仿宋" w:eastAsia="仿宋" w:hint="eastAsia"/>
          <w:sz w:val="32"/>
          <w:szCs w:val="32"/>
        </w:rPr>
      </w:pPr>
      <w:r>
        <w:rPr>
          <w:rFonts w:ascii="仿宋_GB2312" w:eastAsia="仿宋_GB2312" w:hint="eastAsia"/>
          <w:color w:val="000000"/>
          <w:sz w:val="32"/>
          <w:szCs w:val="32"/>
        </w:rPr>
        <w:t>5.住房保障支出（类）住房改革支出（款）住房公积金（项）：支出决算数为34.47万元，完成预算100%。</w:t>
      </w:r>
    </w:p>
    <w:p>
      <w:pPr>
        <w:pStyle w:val="2"/>
        <w:adjustRightInd w:val="0"/>
        <w:snapToGrid w:val="0"/>
        <w:spacing w:line="576" w:lineRule="exact"/>
        <w:ind w:firstLineChars="200" w:firstLine="640"/>
        <w:rPr>
          <w:rStyle w:val="35"/>
          <w:rFonts w:ascii="黑体" w:eastAsia="黑体" w:hint="eastAsia"/>
          <w:b/>
          <w:bCs w:val="0"/>
        </w:rPr>
      </w:pPr>
      <w:bookmarkStart w:id="64" w:name="_Toc15377214"/>
      <w:bookmarkStart w:id="65" w:name="_Toc176901970"/>
      <w:bookmarkStart w:id="66" w:name="_Toc15396608"/>
      <w:r>
        <w:rPr>
          <w:rFonts w:ascii="黑体" w:eastAsia="黑体" w:hint="eastAsia"/>
          <w:b w:val="0"/>
        </w:rPr>
        <w:t>六、</w:t>
      </w:r>
      <w:r>
        <w:rPr>
          <w:rFonts w:ascii="黑体" w:eastAsia="黑体" w:hint="eastAsia"/>
        </w:rPr>
        <w:t>一</w:t>
      </w:r>
      <w:r>
        <w:rPr>
          <w:rStyle w:val="35"/>
          <w:rFonts w:ascii="黑体" w:eastAsia="黑体" w:hint="eastAsia"/>
          <w:b w:val="0"/>
          <w:bCs w:val="0"/>
        </w:rPr>
        <w:t>般公共预算财政拨款基本支出决算情况说明</w:t>
      </w:r>
      <w:bookmarkEnd w:id="64"/>
      <w:bookmarkEnd w:id="65"/>
      <w:bookmarkEnd w:id="66"/>
    </w:p>
    <w:p>
      <w:pPr>
        <w:adjustRightInd w:val="0"/>
        <w:snapToGrid w:val="0"/>
        <w:spacing w:line="576" w:lineRule="exact"/>
        <w:ind w:firstLine="645"/>
        <w:rPr>
          <w:rFonts w:ascii="仿宋_GB2312" w:eastAsia="仿宋_GB2312" w:hint="eastAsia"/>
          <w:sz w:val="32"/>
          <w:szCs w:val="32"/>
        </w:rPr>
      </w:pPr>
      <w:r>
        <w:rPr>
          <w:rFonts w:ascii="仿宋_GB2312" w:eastAsia="仿宋_GB2312" w:hint="eastAsia"/>
          <w:sz w:val="32"/>
          <w:szCs w:val="32"/>
        </w:rPr>
        <w:t>2023年一般公共预算财政拨款基本支出586.88万元，其中：</w:t>
      </w:r>
    </w:p>
    <w:p>
      <w:pPr>
        <w:adjustRightInd w:val="0"/>
        <w:snapToGrid w:val="0"/>
        <w:spacing w:line="576" w:lineRule="exact"/>
        <w:ind w:firstLine="645"/>
        <w:rPr>
          <w:rFonts w:ascii="仿宋_GB2312" w:eastAsia="仿宋_GB2312" w:hint="eastAsia"/>
          <w:sz w:val="32"/>
          <w:szCs w:val="32"/>
        </w:rPr>
      </w:pPr>
      <w:r>
        <w:rPr>
          <w:rFonts w:ascii="仿宋_GB2312" w:eastAsia="仿宋_GB2312" w:hint="eastAsia"/>
          <w:sz w:val="32"/>
          <w:szCs w:val="32"/>
        </w:rPr>
        <w:t>人员经费527.81万元，</w:t>
      </w:r>
      <w:r>
        <w:rPr>
          <w:rFonts w:ascii="仿宋_GB2312" w:eastAsia="仿宋_GB2312" w:hint="eastAsia"/>
          <w:color w:val="000000"/>
          <w:sz w:val="32"/>
          <w:szCs w:val="32"/>
        </w:rPr>
        <w:t>主要包括：基本工资、津贴补贴、奖金、绩效工资、机关事业单位基本养老保险缴费、职业年金缴费、职工基本医疗保险缴费、公务员医疗补助缴费、其他社会保障缴费、其他工资福利支出、抚恤金、生活补助、医疗费补助、其他对个人和家庭的补助、住房公积金等</w:t>
      </w:r>
      <w:r>
        <w:rPr>
          <w:rFonts w:ascii="仿宋_GB2312" w:eastAsia="仿宋_GB2312" w:hint="eastAsia"/>
          <w:sz w:val="32"/>
          <w:szCs w:val="32"/>
        </w:rPr>
        <w:t>。</w:t>
      </w:r>
    </w:p>
    <w:p>
      <w:pPr>
        <w:adjustRightInd w:val="0"/>
        <w:snapToGrid w:val="0"/>
        <w:spacing w:line="576" w:lineRule="exact"/>
        <w:ind w:firstLine="645"/>
        <w:rPr>
          <w:rFonts w:ascii="仿宋_GB2312" w:eastAsia="仿宋_GB2312" w:hint="eastAsia"/>
          <w:sz w:val="32"/>
          <w:szCs w:val="32"/>
        </w:rPr>
      </w:pPr>
      <w:r>
        <w:rPr>
          <w:rFonts w:ascii="仿宋_GB2312" w:eastAsia="仿宋_GB2312" w:hint="eastAsia"/>
          <w:sz w:val="32"/>
          <w:szCs w:val="32"/>
        </w:rPr>
        <w:t>公用经费59.07万元，</w:t>
      </w:r>
      <w:r>
        <w:rPr>
          <w:rFonts w:ascii="仿宋_GB2312" w:eastAsia="仿宋_GB2312" w:hint="eastAsia"/>
          <w:color w:val="000000"/>
          <w:sz w:val="32"/>
          <w:szCs w:val="32"/>
        </w:rPr>
        <w:t>主要包括：办公费、印刷费、水费、电费、邮电费、差旅费、维修（护）费、会议费、培训费、公务接待费、劳务费、委托业务费、工会经费、福利费、公务用车运行维护费、其他交通费、其他商品和服务支出等</w:t>
      </w:r>
      <w:r>
        <w:rPr>
          <w:rFonts w:ascii="仿宋_GB2312" w:eastAsia="仿宋_GB2312" w:hint="eastAsia"/>
          <w:sz w:val="32"/>
          <w:szCs w:val="32"/>
        </w:rPr>
        <w:t>。</w:t>
      </w:r>
    </w:p>
    <w:p>
      <w:pPr>
        <w:pStyle w:val="2"/>
        <w:adjustRightInd w:val="0"/>
        <w:snapToGrid w:val="0"/>
        <w:spacing w:line="576" w:lineRule="exact"/>
        <w:ind w:firstLineChars="196" w:firstLine="627"/>
        <w:rPr>
          <w:rStyle w:val="35"/>
          <w:rFonts w:ascii="黑体" w:eastAsia="黑体" w:hint="eastAsia"/>
          <w:b/>
          <w:bCs w:val="0"/>
        </w:rPr>
      </w:pPr>
      <w:bookmarkStart w:id="67" w:name="_Toc176901971"/>
      <w:bookmarkStart w:id="68" w:name="_Toc15377215"/>
      <w:bookmarkStart w:id="69" w:name="_Toc15396609"/>
      <w:r>
        <w:rPr>
          <w:rFonts w:ascii="黑体" w:eastAsia="黑体" w:hint="eastAsia"/>
          <w:b w:val="0"/>
        </w:rPr>
        <w:t>七、</w:t>
      </w:r>
      <w:r>
        <w:rPr>
          <w:rStyle w:val="35"/>
          <w:rFonts w:ascii="黑体" w:eastAsia="黑体" w:hint="eastAsia"/>
          <w:b w:val="0"/>
          <w:bCs w:val="0"/>
        </w:rPr>
        <w:t>财政拨款“三公”经费支出决算情况说明</w:t>
      </w:r>
      <w:bookmarkEnd w:id="67"/>
      <w:bookmarkEnd w:id="68"/>
      <w:bookmarkEnd w:id="69"/>
    </w:p>
    <w:p>
      <w:pPr>
        <w:pStyle w:val="3"/>
        <w:ind w:firstLineChars="200" w:firstLine="640"/>
        <w:rPr>
          <w:rFonts w:ascii="楷体_GB2312" w:eastAsia="楷体_GB2312"/>
        </w:rPr>
      </w:pPr>
      <w:bookmarkStart w:id="70" w:name="_Toc15377216"/>
      <w:bookmarkStart w:id="71" w:name="_Toc176901972"/>
      <w:r>
        <w:rPr>
          <w:rFonts w:ascii="楷体_GB2312" w:eastAsia="楷体_GB2312" w:hint="eastAsia"/>
        </w:rPr>
        <w:t>（一）“三公”经费财政拨款支出决算总体情况说明</w:t>
      </w:r>
      <w:bookmarkEnd w:id="70"/>
      <w:bookmarkEnd w:id="71"/>
    </w:p>
    <w:p>
      <w:pPr>
        <w:adjustRightInd w:val="0"/>
        <w:snapToGrid w:val="0"/>
        <w:spacing w:line="576" w:lineRule="exact"/>
        <w:ind w:firstLine="640"/>
        <w:rPr>
          <w:rFonts w:ascii="仿宋" w:eastAsia="仿宋" w:hint="eastAsia"/>
          <w:sz w:val="32"/>
          <w:szCs w:val="32"/>
        </w:rPr>
      </w:pPr>
      <w:r>
        <w:rPr>
          <w:rFonts w:ascii="仿宋" w:eastAsia="仿宋"/>
          <w:sz w:val="32"/>
          <w:szCs w:val="32"/>
        </w:rPr>
        <w:t>20</w:t>
      </w:r>
      <w:r>
        <w:rPr>
          <w:rFonts w:ascii="仿宋" w:eastAsia="仿宋" w:hint="eastAsia"/>
          <w:sz w:val="32"/>
          <w:szCs w:val="32"/>
        </w:rPr>
        <w:t>23年“三公”经费财政拨款支出决算为</w:t>
      </w:r>
      <w:r>
        <w:rPr>
          <w:rFonts w:ascii="仿宋" w:eastAsia="仿宋"/>
          <w:sz w:val="32"/>
          <w:szCs w:val="32"/>
        </w:rPr>
        <w:t>6.53</w:t>
      </w:r>
      <w:r>
        <w:rPr>
          <w:rFonts w:ascii="仿宋" w:eastAsia="仿宋" w:hint="eastAsia"/>
          <w:sz w:val="32"/>
          <w:szCs w:val="32"/>
        </w:rPr>
        <w:t>万元，完成预算100</w:t>
      </w:r>
      <w:r>
        <w:rPr>
          <w:rFonts w:ascii="仿宋" w:eastAsia="仿宋"/>
          <w:sz w:val="32"/>
          <w:szCs w:val="32"/>
        </w:rPr>
        <w:t>%</w:t>
      </w:r>
      <w:r>
        <w:rPr>
          <w:rFonts w:ascii="仿宋" w:eastAsia="仿宋" w:hint="eastAsia"/>
          <w:sz w:val="32"/>
          <w:szCs w:val="32"/>
        </w:rPr>
        <w:t>，比上年增加1.05万元，增长19.13%，主要是因为2022年疫情原因公务接待少，今年公务接待增加。。</w:t>
      </w:r>
    </w:p>
    <w:p>
      <w:pPr>
        <w:pStyle w:val="3"/>
        <w:ind w:firstLineChars="200" w:firstLine="640"/>
        <w:rPr>
          <w:rFonts w:ascii="楷体_GB2312" w:eastAsia="楷体_GB2312"/>
        </w:rPr>
      </w:pPr>
      <w:bookmarkStart w:id="72" w:name="_Toc176901973"/>
      <w:bookmarkStart w:id="73" w:name="_Toc15377217"/>
      <w:r>
        <w:rPr>
          <w:rFonts w:ascii="楷体_GB2312" w:eastAsia="楷体_GB2312" w:hint="eastAsia"/>
        </w:rPr>
        <w:t>（二）“三公”经费财政拨款支出决算具体情况说明</w:t>
      </w:r>
      <w:bookmarkEnd w:id="72"/>
      <w:bookmarkEnd w:id="73"/>
    </w:p>
    <w:p>
      <w:pPr>
        <w:adjustRightInd w:val="0"/>
        <w:snapToGrid w:val="0"/>
        <w:spacing w:line="576" w:lineRule="exact"/>
        <w:ind w:firstLine="640"/>
        <w:rPr>
          <w:rFonts w:ascii="仿宋" w:eastAsia="仿宋" w:hint="eastAsia"/>
          <w:sz w:val="32"/>
          <w:szCs w:val="32"/>
        </w:rPr>
      </w:pPr>
      <w:r>
        <w:rPr>
          <w:rFonts w:ascii="仿宋" w:eastAsia="仿宋"/>
          <w:sz w:val="32"/>
          <w:szCs w:val="32"/>
        </w:rPr>
        <w:t>20</w:t>
      </w:r>
      <w:r>
        <w:rPr>
          <w:rFonts w:ascii="仿宋" w:eastAsia="仿宋" w:hint="eastAsia"/>
          <w:sz w:val="32"/>
          <w:szCs w:val="32"/>
        </w:rPr>
        <w:t>23年“三公”经费财政拨款支出决算中，因公出国（境）费支出决算0万元，占0</w:t>
      </w:r>
      <w:r>
        <w:rPr>
          <w:rFonts w:ascii="仿宋" w:eastAsia="仿宋"/>
          <w:sz w:val="32"/>
          <w:szCs w:val="32"/>
        </w:rPr>
        <w:t>%</w:t>
      </w:r>
      <w:r>
        <w:rPr>
          <w:rFonts w:ascii="仿宋" w:eastAsia="仿宋" w:hint="eastAsia"/>
          <w:sz w:val="32"/>
          <w:szCs w:val="32"/>
        </w:rPr>
        <w:t>；公务用车购置及运行维护费支出决算5.36万元，占82.08</w:t>
      </w:r>
      <w:r>
        <w:rPr>
          <w:rFonts w:ascii="仿宋" w:eastAsia="仿宋"/>
          <w:sz w:val="32"/>
          <w:szCs w:val="32"/>
        </w:rPr>
        <w:t>%</w:t>
      </w:r>
      <w:r>
        <w:rPr>
          <w:rFonts w:ascii="仿宋" w:eastAsia="仿宋" w:hint="eastAsia"/>
          <w:sz w:val="32"/>
          <w:szCs w:val="32"/>
        </w:rPr>
        <w:t>；公务接待费支出决算1.17万元，17.92</w:t>
      </w:r>
      <w:r>
        <w:rPr>
          <w:rFonts w:ascii="仿宋" w:eastAsia="仿宋"/>
          <w:sz w:val="32"/>
          <w:szCs w:val="32"/>
        </w:rPr>
        <w:t>%</w:t>
      </w:r>
      <w:r>
        <w:rPr>
          <w:rFonts w:ascii="仿宋" w:eastAsia="仿宋" w:hint="eastAsia"/>
          <w:sz w:val="32"/>
          <w:szCs w:val="32"/>
        </w:rPr>
        <w:t>。具体情况如下：</w:t>
      </w:r>
    </w:p>
    <w:p>
      <w:pPr>
        <w:pStyle w:val="18"/>
        <w:adjustRightInd w:val="0"/>
        <w:snapToGrid w:val="0"/>
        <w:spacing w:beforeLines="0" w:before="93" w:line="576" w:lineRule="exact"/>
        <w:rPr>
          <w:rFonts w:ascii="仿宋" w:eastAsia="仿宋" w:hint="eastAsia"/>
          <w:sz w:val="32"/>
          <w:szCs w:val="32"/>
        </w:rPr>
      </w:pPr>
      <w:r>
        <w:rPr>
          <w:rFonts w:ascii="仿宋" w:eastAsia="仿宋" w:hint="eastAsia"/>
          <w:color w:val="000000"/>
          <w:sz w:val="32"/>
          <w:szCs w:val="32"/>
        </w:rPr>
        <w:drawing>
          <wp:anchor distT="0" distB="0" distL="114300" distR="114300" simplePos="0" relativeHeight="2" behindDoc="1" locked="0" layoutInCell="1" hidden="0" allowOverlap="1">
            <wp:simplePos x="0" y="0"/>
            <wp:positionH relativeFrom="column">
              <wp:posOffset>133350</wp:posOffset>
            </wp:positionH>
            <wp:positionV relativeFrom="paragraph">
              <wp:posOffset>38100</wp:posOffset>
            </wp:positionV>
            <wp:extent cx="4886325" cy="1724025"/>
            <wp:effectExtent l="0" t="0" r="0" b="0"/>
            <wp:wrapNone/>
            <wp:docPr id="7" name="对象 3"/>
            <wp:cNvGraphicFramePr>
              <a:graphicFrameLocks noChangeAspect="1"/>
            </wp:cNvGraphicFramePr>
            <a:graphic>
              <a:graphicData uri="http://schemas.openxmlformats.org/drawingml/2006/chart">
                <c:chart xmlns:c="http://schemas.openxmlformats.org/drawingml/2006/chart" r:id="rId11"/>
              </a:graphicData>
            </a:graphic>
          </wp:anchor>
        </w:drawing>
      </w:r>
    </w:p>
    <w:p>
      <w:pPr>
        <w:pStyle w:val="18"/>
        <w:adjustRightInd w:val="0"/>
        <w:snapToGrid w:val="0"/>
        <w:spacing w:beforeLines="0" w:before="93" w:line="576" w:lineRule="exact"/>
        <w:jc w:val="center"/>
        <w:rPr>
          <w:rFonts w:ascii="仿宋" w:eastAsia="仿宋" w:hint="eastAsia"/>
          <w:sz w:val="32"/>
          <w:szCs w:val="32"/>
        </w:rPr>
      </w:pPr>
    </w:p>
    <w:p>
      <w:pPr>
        <w:pStyle w:val="18"/>
        <w:adjustRightInd w:val="0"/>
        <w:snapToGrid w:val="0"/>
        <w:spacing w:beforeLines="0" w:before="93" w:line="576" w:lineRule="exact"/>
        <w:rPr>
          <w:rFonts w:ascii="仿宋" w:eastAsia="仿宋" w:hint="eastAsia"/>
          <w:sz w:val="32"/>
          <w:szCs w:val="32"/>
        </w:rPr>
      </w:pPr>
    </w:p>
    <w:p>
      <w:pPr>
        <w:pStyle w:val="18"/>
        <w:adjustRightInd w:val="0"/>
        <w:snapToGrid w:val="0"/>
        <w:spacing w:beforeLines="0" w:before="93" w:line="576" w:lineRule="exact"/>
        <w:rPr>
          <w:rFonts w:ascii="仿宋" w:eastAsia="仿宋" w:hint="eastAsia"/>
          <w:sz w:val="32"/>
          <w:szCs w:val="32"/>
        </w:rPr>
      </w:pPr>
    </w:p>
    <w:p>
      <w:pPr>
        <w:adjustRightInd w:val="0"/>
        <w:snapToGrid w:val="0"/>
        <w:spacing w:line="576" w:lineRule="exact"/>
        <w:ind w:firstLine="640"/>
        <w:rPr>
          <w:rFonts w:ascii="仿宋" w:eastAsia="仿宋" w:hint="eastAsia"/>
          <w:sz w:val="32"/>
          <w:szCs w:val="32"/>
        </w:rPr>
      </w:pPr>
      <w:r>
        <w:rPr>
          <w:rFonts w:ascii="仿宋" w:eastAsia="仿宋" w:hint="eastAsia"/>
          <w:sz w:val="32"/>
          <w:szCs w:val="32"/>
        </w:rPr>
        <w:t>（图7：“三公”经费财政拨款支出结构）（饼状图）</w:t>
      </w:r>
    </w:p>
    <w:p>
      <w:pPr>
        <w:adjustRightInd w:val="0"/>
        <w:snapToGrid w:val="0"/>
        <w:spacing w:line="576" w:lineRule="exact"/>
        <w:ind w:firstLine="640"/>
        <w:rPr>
          <w:rFonts w:ascii="仿宋_GB2312" w:eastAsia="仿宋_GB2312"/>
          <w:sz w:val="32"/>
          <w:szCs w:val="32"/>
        </w:rPr>
      </w:pPr>
      <w:r>
        <w:rPr>
          <w:rFonts w:ascii="仿宋_GB2312" w:eastAsia="仿宋_GB2312" w:hint="eastAsia"/>
          <w:sz w:val="32"/>
          <w:szCs w:val="32"/>
        </w:rPr>
        <w:t>1.因公出国（境）经费支出0万元，</w:t>
      </w:r>
      <w:r>
        <w:rPr>
          <w:rStyle w:val="25"/>
          <w:rFonts w:ascii="仿宋_GB2312" w:eastAsia="仿宋_GB2312" w:hint="eastAsia"/>
          <w:b w:val="0"/>
          <w:bCs/>
          <w:sz w:val="32"/>
          <w:szCs w:val="32"/>
        </w:rPr>
        <w:t>完成预算0%。</w:t>
      </w:r>
      <w:r>
        <w:rPr>
          <w:rFonts w:ascii="仿宋_GB2312" w:eastAsia="仿宋_GB2312" w:hint="eastAsia"/>
          <w:sz w:val="32"/>
          <w:szCs w:val="32"/>
        </w:rPr>
        <w:t>全年安排因公出国（境）团组0次，出国（境）0人。因公出国（境）支出决算比2022年持平。</w:t>
      </w:r>
    </w:p>
    <w:p>
      <w:pPr>
        <w:adjustRightInd w:val="0"/>
        <w:snapToGrid w:val="0"/>
        <w:spacing w:line="576" w:lineRule="exact"/>
        <w:ind w:firstLine="640"/>
        <w:rPr>
          <w:rFonts w:ascii="仿宋_GB2312" w:eastAsia="仿宋_GB2312"/>
          <w:b/>
          <w:sz w:val="32"/>
          <w:szCs w:val="32"/>
        </w:rPr>
      </w:pPr>
      <w:r>
        <w:rPr>
          <w:rFonts w:ascii="仿宋_GB2312" w:eastAsia="仿宋_GB2312" w:hint="eastAsia"/>
          <w:sz w:val="32"/>
          <w:szCs w:val="32"/>
        </w:rPr>
        <w:t>2.公务用车购置及运行维护费支出5.36万元,完成预算100%。公务用车购置及运行维护费支出决算比2022年减少0.006万元，下降0.01%。减少原因主要是根据相关规定，每年减少公车运维经费。</w:t>
      </w:r>
    </w:p>
    <w:p>
      <w:pPr>
        <w:adjustRightInd w:val="0"/>
        <w:snapToGrid w:val="0"/>
        <w:spacing w:line="576" w:lineRule="exact"/>
        <w:ind w:firstLineChars="200" w:firstLine="640"/>
        <w:rPr>
          <w:rFonts w:ascii="仿宋_GB2312" w:eastAsia="仿宋_GB2312"/>
          <w:b/>
          <w:sz w:val="32"/>
          <w:szCs w:val="32"/>
        </w:rPr>
      </w:pPr>
      <w:r>
        <w:rPr>
          <w:rFonts w:ascii="仿宋_GB2312" w:eastAsia="仿宋_GB2312" w:hint="eastAsia"/>
          <w:color w:val="000000"/>
          <w:sz w:val="32"/>
          <w:szCs w:val="32"/>
        </w:rPr>
        <w:t>其中：公务用车购置支出0万元。全年按规定更新购置公务用车0辆。截至2023年12月底，单位共有公务用车2辆，其中：轿车0辆、越野车2辆</w:t>
      </w:r>
      <w:r>
        <w:rPr>
          <w:rFonts w:ascii="仿宋_GB2312" w:eastAsia="仿宋_GB2312" w:hint="eastAsia"/>
          <w:sz w:val="32"/>
          <w:szCs w:val="32"/>
        </w:rPr>
        <w:t>。</w:t>
      </w:r>
    </w:p>
    <w:p>
      <w:pPr>
        <w:adjustRightInd w:val="0"/>
        <w:snapToGrid w:val="0"/>
        <w:spacing w:line="576" w:lineRule="exact"/>
        <w:ind w:firstLine="640"/>
        <w:rPr>
          <w:rFonts w:ascii="仿宋_GB2312" w:eastAsia="仿宋_GB2312"/>
          <w:sz w:val="32"/>
          <w:szCs w:val="32"/>
        </w:rPr>
      </w:pPr>
      <w:r>
        <w:rPr>
          <w:rFonts w:ascii="仿宋_GB2312" w:eastAsia="仿宋_GB2312" w:hint="eastAsia"/>
          <w:sz w:val="32"/>
          <w:szCs w:val="32"/>
        </w:rPr>
        <w:t>公务用车运行维护费支出5.36万元。</w:t>
      </w:r>
      <w:r>
        <w:rPr>
          <w:rFonts w:ascii="仿宋_GB2312" w:eastAsia="仿宋_GB2312" w:hint="eastAsia"/>
          <w:color w:val="000000"/>
          <w:sz w:val="32"/>
          <w:szCs w:val="32"/>
        </w:rPr>
        <w:t>主要</w:t>
      </w:r>
      <w:r>
        <w:rPr>
          <w:rFonts w:ascii="仿宋_GB2312" w:eastAsia="仿宋_GB2312" w:hint="eastAsia"/>
          <w:sz w:val="32"/>
          <w:szCs w:val="32"/>
        </w:rPr>
        <w:t>用于组织开展民族团结进步创建活动、开展民族团结宣传教育、维护社会稳定、森林防火督查、指导协调宗教事务，参与协调民区经济社会发展，调研民族乡（镇）等所需</w:t>
      </w:r>
      <w:r>
        <w:rPr>
          <w:rFonts w:ascii="仿宋_GB2312" w:eastAsia="仿宋_GB2312" w:hint="eastAsia"/>
          <w:color w:val="000000"/>
          <w:sz w:val="32"/>
          <w:szCs w:val="32"/>
        </w:rPr>
        <w:t>的公务用车燃料费、维修费、过路过桥费、保险费等支出</w:t>
      </w:r>
      <w:r>
        <w:rPr>
          <w:rFonts w:ascii="仿宋_GB2312" w:eastAsia="仿宋_GB2312" w:hint="eastAsia"/>
          <w:sz w:val="32"/>
          <w:szCs w:val="32"/>
        </w:rPr>
        <w:t>。</w:t>
      </w:r>
    </w:p>
    <w:p>
      <w:pPr>
        <w:adjustRightInd w:val="0"/>
        <w:snapToGrid w:val="0"/>
        <w:spacing w:line="576" w:lineRule="exact"/>
        <w:ind w:firstLine="640"/>
        <w:rPr>
          <w:rFonts w:ascii="仿宋_GB2312" w:eastAsia="仿宋_GB2312"/>
          <w:sz w:val="32"/>
          <w:szCs w:val="32"/>
        </w:rPr>
      </w:pPr>
      <w:r>
        <w:rPr>
          <w:rFonts w:ascii="仿宋_GB2312" w:eastAsia="仿宋_GB2312" w:hint="eastAsia"/>
          <w:sz w:val="32"/>
          <w:szCs w:val="32"/>
        </w:rPr>
        <w:t>3.公务接待费支出1.17万元，完成预算100%。公务接待费支出决算比2022年1.05万元，增长874.75%。主要原因是去年受疫情影响，部分省上和其他市州调研、考核等公务活动被搁置。其中：</w:t>
      </w:r>
    </w:p>
    <w:p>
      <w:pPr>
        <w:adjustRightInd w:val="0"/>
        <w:snapToGrid w:val="0"/>
        <w:spacing w:line="576" w:lineRule="exact"/>
        <w:ind w:firstLine="640"/>
        <w:rPr>
          <w:rFonts w:ascii="仿宋_GB2312" w:eastAsia="仿宋_GB2312"/>
          <w:sz w:val="32"/>
          <w:szCs w:val="32"/>
        </w:rPr>
      </w:pPr>
      <w:r>
        <w:rPr>
          <w:rFonts w:ascii="仿宋_GB2312" w:eastAsia="仿宋_GB2312" w:hint="eastAsia"/>
          <w:sz w:val="32"/>
          <w:szCs w:val="32"/>
        </w:rPr>
        <w:t>国内公务接待支出1.17万元，主要用于执行公务、开展业务活动开支的用餐费等。国内公务接待1批次，7人次（不包括陪同人员），共计支出0.12万元。接待国内公务活动8批次，接待人员68人次。</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color w:val="000000"/>
          <w:sz w:val="32"/>
          <w:szCs w:val="32"/>
        </w:rPr>
        <w:t>外事接待支出0万元，外事接待0批次，0人</w:t>
      </w:r>
      <w:r>
        <w:rPr>
          <w:rFonts w:ascii="仿宋_GB2312" w:eastAsia="仿宋_GB2312" w:hint="eastAsia"/>
          <w:sz w:val="32"/>
          <w:szCs w:val="32"/>
        </w:rPr>
        <w:t>。</w:t>
      </w:r>
    </w:p>
    <w:p>
      <w:pPr>
        <w:pStyle w:val="2"/>
        <w:adjustRightInd w:val="0"/>
        <w:snapToGrid w:val="0"/>
        <w:spacing w:line="576" w:lineRule="exact"/>
        <w:ind w:firstLineChars="196" w:firstLine="627"/>
        <w:rPr>
          <w:rStyle w:val="35"/>
          <w:rFonts w:ascii="黑体" w:eastAsia="黑体" w:hint="eastAsia"/>
          <w:b w:val="0"/>
          <w:bCs w:val="0"/>
        </w:rPr>
      </w:pPr>
      <w:bookmarkStart w:id="74" w:name="_Toc176901974"/>
      <w:bookmarkStart w:id="75" w:name="_Toc15377218"/>
      <w:bookmarkStart w:id="76" w:name="_Toc15396610"/>
      <w:r>
        <w:rPr>
          <w:rFonts w:ascii="黑体" w:eastAsia="黑体" w:hint="eastAsia"/>
          <w:b w:val="0"/>
        </w:rPr>
        <w:t>八、</w:t>
      </w:r>
      <w:r>
        <w:rPr>
          <w:rStyle w:val="35"/>
          <w:rFonts w:ascii="黑体" w:eastAsia="黑体" w:hint="eastAsia"/>
          <w:b w:val="0"/>
          <w:bCs w:val="0"/>
        </w:rPr>
        <w:t>政府性基金预算支出决算情况说明</w:t>
      </w:r>
      <w:bookmarkEnd w:id="74"/>
      <w:bookmarkEnd w:id="75"/>
      <w:bookmarkEnd w:id="76"/>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23年政府性基金预算财政拨款支出9.47万元，为下达2022年市级少数民族发展资金和自发迁居农民专项资金，较2022年增长了100%，主要是本年度安排了市级两资项目资金在政府性基金中，故增加了政府性基金资金。</w:t>
      </w:r>
    </w:p>
    <w:p>
      <w:pPr>
        <w:pStyle w:val="2"/>
        <w:adjustRightInd w:val="0"/>
        <w:snapToGrid w:val="0"/>
        <w:spacing w:line="576" w:lineRule="exact"/>
        <w:ind w:firstLineChars="196" w:firstLine="627"/>
        <w:rPr>
          <w:rStyle w:val="35"/>
          <w:rFonts w:ascii="黑体" w:eastAsia="黑体" w:hint="eastAsia"/>
          <w:b w:val="0"/>
          <w:bCs w:val="0"/>
        </w:rPr>
      </w:pPr>
      <w:bookmarkStart w:id="77" w:name="_Toc15377219"/>
      <w:bookmarkStart w:id="78" w:name="_Toc15396611"/>
      <w:bookmarkStart w:id="79" w:name="_Toc176901975"/>
      <w:r>
        <w:rPr>
          <w:rStyle w:val="35"/>
          <w:rFonts w:ascii="黑体" w:eastAsia="黑体" w:hint="eastAsia"/>
          <w:b w:val="0"/>
          <w:bCs w:val="0"/>
        </w:rPr>
        <w:t>九、国有资本经营预算支出决算情况说明</w:t>
      </w:r>
      <w:bookmarkEnd w:id="77"/>
      <w:bookmarkEnd w:id="78"/>
      <w:bookmarkEnd w:id="79"/>
    </w:p>
    <w:p>
      <w:pPr>
        <w:adjustRightInd w:val="0"/>
        <w:snapToGrid w:val="0"/>
        <w:spacing w:line="576"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23年国有资本经营预算财政拨款支出0万元。</w:t>
      </w:r>
    </w:p>
    <w:p>
      <w:pPr>
        <w:pStyle w:val="2"/>
        <w:adjustRightInd w:val="0"/>
        <w:snapToGrid w:val="0"/>
        <w:spacing w:line="576" w:lineRule="exact"/>
        <w:ind w:firstLineChars="200" w:firstLine="640"/>
        <w:rPr>
          <w:rStyle w:val="35"/>
          <w:rFonts w:ascii="黑体" w:eastAsia="黑体" w:hint="eastAsia"/>
          <w:b/>
          <w:bCs w:val="0"/>
        </w:rPr>
      </w:pPr>
      <w:bookmarkStart w:id="80" w:name="_Toc15396612"/>
      <w:bookmarkStart w:id="81" w:name="_Toc176901976"/>
      <w:bookmarkStart w:id="82" w:name="_Toc15377221"/>
      <w:r>
        <w:rPr>
          <w:rStyle w:val="35"/>
          <w:rFonts w:ascii="黑体" w:eastAsia="黑体" w:hint="eastAsia"/>
          <w:b w:val="0"/>
          <w:bCs w:val="0"/>
        </w:rPr>
        <w:t>十、其他重要事项的情况说明</w:t>
      </w:r>
      <w:bookmarkEnd w:id="80"/>
      <w:bookmarkEnd w:id="81"/>
      <w:bookmarkEnd w:id="82"/>
    </w:p>
    <w:p>
      <w:pPr>
        <w:pStyle w:val="3"/>
        <w:ind w:firstLineChars="200" w:firstLine="640"/>
        <w:rPr>
          <w:rFonts w:ascii="楷体_GB2312" w:eastAsia="楷体_GB2312"/>
        </w:rPr>
      </w:pPr>
      <w:bookmarkStart w:id="83" w:name="_Toc15377222"/>
      <w:bookmarkStart w:id="84" w:name="_Toc176901977"/>
      <w:r>
        <w:rPr>
          <w:rFonts w:ascii="楷体_GB2312" w:eastAsia="楷体_GB2312" w:hint="eastAsia"/>
        </w:rPr>
        <w:t>（一）机关运行经费支出情况</w:t>
      </w:r>
      <w:bookmarkEnd w:id="83"/>
      <w:bookmarkEnd w:id="84"/>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w:t>
      </w:r>
      <w:r>
        <w:rPr>
          <w:rFonts w:ascii="仿宋_GB2312" w:eastAsia="仿宋_GB2312" w:hint="eastAsia"/>
          <w:color w:val="000000"/>
          <w:sz w:val="32"/>
          <w:szCs w:val="32"/>
        </w:rPr>
        <w:t>攀枝花市民族宗教事务委员会</w:t>
      </w:r>
      <w:r>
        <w:rPr>
          <w:rFonts w:ascii="仿宋_GB2312" w:eastAsia="仿宋_GB2312" w:hint="eastAsia"/>
          <w:sz w:val="32"/>
          <w:szCs w:val="32"/>
        </w:rPr>
        <w:t>机关运行经费支出59.07万元，比2022年增加4.47万元，增长8.19%。主要原因是去年由于疫情原因出差减少，及上一年年底财政等原因，部分工会经费等未能及时拨付，导致今年较上一年日常公用支出增加。</w:t>
      </w:r>
    </w:p>
    <w:p>
      <w:pPr>
        <w:pStyle w:val="3"/>
        <w:ind w:firstLineChars="200" w:firstLine="640"/>
        <w:rPr>
          <w:rFonts w:ascii="楷体_GB2312" w:eastAsia="楷体_GB2312"/>
        </w:rPr>
      </w:pPr>
      <w:bookmarkStart w:id="85" w:name="_Toc15377223"/>
      <w:bookmarkStart w:id="86" w:name="_Toc176901978"/>
      <w:r>
        <w:rPr>
          <w:rFonts w:ascii="楷体_GB2312" w:eastAsia="楷体_GB2312" w:hint="eastAsia"/>
        </w:rPr>
        <w:t>（二）政府采购支出情况</w:t>
      </w:r>
      <w:bookmarkEnd w:id="85"/>
      <w:bookmarkEnd w:id="86"/>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2023年，</w:t>
      </w:r>
      <w:r>
        <w:rPr>
          <w:rFonts w:ascii="仿宋_GB2312" w:eastAsia="仿宋_GB2312" w:hint="eastAsia"/>
          <w:color w:val="000000"/>
          <w:sz w:val="32"/>
          <w:szCs w:val="32"/>
        </w:rPr>
        <w:t>攀枝花市民族宗教事务委员会</w:t>
      </w:r>
      <w:r>
        <w:rPr>
          <w:rFonts w:ascii="仿宋_GB2312" w:eastAsia="仿宋_GB2312" w:hint="eastAsia"/>
          <w:sz w:val="32"/>
          <w:szCs w:val="32"/>
        </w:rPr>
        <w:t>政府采购支出总额0元，其中：政府采购货物支出0万元、政府采购工程支出0万元、政府采购服务支出0万元。</w:t>
      </w:r>
    </w:p>
    <w:p>
      <w:pPr>
        <w:pStyle w:val="3"/>
        <w:ind w:firstLineChars="200" w:firstLine="640"/>
        <w:rPr>
          <w:rFonts w:ascii="楷体_GB2312" w:eastAsia="楷体_GB2312"/>
        </w:rPr>
      </w:pPr>
      <w:bookmarkStart w:id="87" w:name="_Toc15377224"/>
      <w:bookmarkStart w:id="88" w:name="_Toc176901979"/>
      <w:r>
        <w:rPr>
          <w:rFonts w:ascii="楷体_GB2312" w:eastAsia="楷体_GB2312" w:hint="eastAsia"/>
        </w:rPr>
        <w:t>（三）国有资产占有使用情况</w:t>
      </w:r>
      <w:bookmarkEnd w:id="87"/>
      <w:bookmarkEnd w:id="88"/>
    </w:p>
    <w:p>
      <w:pPr>
        <w:autoSpaceDE w:val="0"/>
        <w:autoSpaceDN w:val="0"/>
        <w:adjustRightInd w:val="0"/>
        <w:snapToGrid w:val="0"/>
        <w:spacing w:line="576" w:lineRule="exact"/>
        <w:ind w:firstLineChars="200" w:firstLine="640"/>
        <w:jc w:val="left"/>
        <w:rPr>
          <w:rFonts w:ascii="仿宋_GB2312" w:eastAsia="仿宋_GB2312"/>
          <w:sz w:val="32"/>
          <w:szCs w:val="32"/>
        </w:rPr>
      </w:pPr>
      <w:r>
        <w:rPr>
          <w:rFonts w:ascii="仿宋_GB2312" w:eastAsia="仿宋_GB2312" w:hint="eastAsia"/>
          <w:color w:val="000000"/>
          <w:sz w:val="32"/>
          <w:szCs w:val="32"/>
        </w:rPr>
        <w:t>截至2023年12月31日，攀枝花市民族宗教事务委员会共有车辆2辆，其中：部级领导干部用车0辆、一般公务用车2辆、一般执法执勤用车0辆、特种专业技术用车0辆、其他用车0辆。单价50万元以上通用设备0台（套），单价100万元以上专用设备0台（套）</w:t>
      </w:r>
      <w:r>
        <w:rPr>
          <w:rFonts w:ascii="仿宋_GB2312" w:eastAsia="仿宋_GB2312" w:hint="eastAsia"/>
          <w:sz w:val="32"/>
          <w:szCs w:val="32"/>
        </w:rPr>
        <w:t>。</w:t>
      </w:r>
    </w:p>
    <w:p>
      <w:pPr>
        <w:pStyle w:val="3"/>
        <w:ind w:firstLineChars="200" w:firstLine="640"/>
        <w:rPr>
          <w:rFonts w:ascii="楷体_GB2312" w:eastAsia="楷体_GB2312"/>
        </w:rPr>
      </w:pPr>
      <w:bookmarkStart w:id="89" w:name="_Toc176901980"/>
      <w:r>
        <w:rPr>
          <w:rFonts w:ascii="楷体_GB2312" w:eastAsia="楷体_GB2312" w:hint="eastAsia"/>
        </w:rPr>
        <w:t>（四）预算绩效管理情况</w:t>
      </w:r>
      <w:bookmarkEnd w:id="89"/>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根据预算绩效管理要求，我委对2023年预算项目支出开展了绩效目标管理。年中追加项目9个179.7万元，均开展了绩效目标管理和年中绩效评价，9个项目预算绩效为196.91万元。2023年共计14个项目，均编制了绩效目标，预算执行过程中，选取11个项目开展了绩效监控，组织对11个项目开展绩效自评，绩效自评表详见第四部分附件。</w:t>
      </w:r>
    </w:p>
    <w:p>
      <w:pPr>
        <w:adjustRightInd w:val="0"/>
        <w:snapToGrid w:val="0"/>
        <w:spacing w:line="576" w:lineRule="exact"/>
        <w:ind w:firstLineChars="200" w:firstLine="640"/>
        <w:rPr>
          <w:rFonts w:ascii="仿宋_GB2312" w:eastAsia="仿宋_GB2312"/>
          <w:sz w:val="32"/>
          <w:szCs w:val="32"/>
        </w:rPr>
      </w:pPr>
      <w:r>
        <w:rPr>
          <w:rFonts w:ascii="仿宋_GB2312" w:eastAsia="仿宋_GB2312" w:hint="eastAsia"/>
          <w:sz w:val="32"/>
          <w:szCs w:val="32"/>
        </w:rPr>
        <w:t>组织对2023年度一般公共预算全面开展绩效自评，形成《2023年度部门整体绩效自评报告（市民宗委）》、《2023年度部门项目支出绩效自评报告（市民宗委）》，部门整体（含部门预算项目）绩效自评得分为87分。</w:t>
        <w:br w:type="page"/>
      </w:r>
    </w:p>
    <w:p>
      <w:pPr>
        <w:numPr>
          <w:ilvl w:val="0"/>
          <w:numId w:val="1"/>
        </w:numPr>
        <w:adjustRightInd w:val="0"/>
        <w:snapToGrid w:val="0"/>
        <w:spacing w:line="576" w:lineRule="exact"/>
        <w:ind w:left="0" w:firstLineChars="150" w:firstLine="660"/>
        <w:jc w:val="center"/>
        <w:outlineLvl w:val="0"/>
        <w:rPr>
          <w:rStyle w:val="1Char"/>
          <w:rFonts w:ascii="黑体" w:eastAsia="黑体" w:hint="eastAsia"/>
          <w:b w:val="0"/>
        </w:rPr>
      </w:pPr>
      <w:bookmarkStart w:id="90" w:name="_Toc15377225"/>
      <w:bookmarkStart w:id="91" w:name="_Toc15396613"/>
      <w:bookmarkStart w:id="92" w:name="_Toc176901981"/>
      <w:r>
        <w:rPr>
          <w:rFonts w:ascii="黑体" w:eastAsia="黑体" w:hint="eastAsia"/>
          <w:sz w:val="44"/>
          <w:szCs w:val="44"/>
        </w:rPr>
        <w:t>名</w:t>
      </w:r>
      <w:r>
        <w:rPr>
          <w:rStyle w:val="1Char"/>
          <w:rFonts w:ascii="黑体" w:eastAsia="黑体" w:hint="eastAsia"/>
          <w:b w:val="0"/>
        </w:rPr>
        <w:t>词解释</w:t>
      </w:r>
      <w:bookmarkEnd w:id="90"/>
      <w:bookmarkEnd w:id="91"/>
      <w:bookmarkEnd w:id="92"/>
    </w:p>
    <w:p>
      <w:pPr>
        <w:adjustRightInd w:val="0"/>
        <w:snapToGrid w:val="0"/>
        <w:spacing w:line="576" w:lineRule="exact"/>
        <w:jc w:val="left"/>
        <w:rPr>
          <w:rFonts w:ascii="宋体"/>
          <w:b/>
          <w:sz w:val="44"/>
          <w:szCs w:val="44"/>
        </w:rPr>
      </w:pPr>
    </w:p>
    <w:p>
      <w:pPr>
        <w:pStyle w:val="33"/>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1.财政拨款收入：指单位从同级财政部门取得的财政预算资金。</w:t>
      </w:r>
    </w:p>
    <w:p>
      <w:pPr>
        <w:pStyle w:val="33"/>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 xml:space="preserve">2.其他收入：指单位取得的除上述收入以外的各项收入。主要是利息收入。 </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3.一般公共服务（类）民族事务（款）行政运行（项）：指行政单位的基本支出。</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4.一般公共服务（类）民族事务（款）事业运行（项）：指事业单位的基本支出，不包括行政单位服务中心、医务室等附属事业单位。</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5.一般公共服务（类）民族事务（款）其他民族事务支出（项）：指其他用于民族事务方面的支出。</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6.社会保障和就业（类）行政事业单位养老支出（款）行政单位离退休（项）：指行政单位(包括实行公务员管理的事业单位)开支的离退休经费。</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7.社会保障和就业（类）行政事业单位养老支出（款）事业单位离退休（项）：指事业单位开支的离退休经费。</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 xml:space="preserve">8.社会保障和就业（类）行政事业单位养老支出（款）机关事业单位基本养老保险缴费支出（项）:指机关事业单位实施养老保险制度由单位缴纳的基本养老保险费支出。  </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9.社会保障和就业支出（类）行政事业单位养老支出（款）机关事业单位职业年金缴费支出（项）：指机关事业单位实施养老保险制度由单位实际缴纳的职业年金支出。</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10.社会保障和就业支出（类）抚恤（款）死亡抚恤（项）：指按规定用于烈士和牺牲、病故人员家属的一次性和定期抚恤金、丧葬补助费以及烈士褒扬金。</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11.卫生健康支出（类）行政事业单位医疗（款）行政单位医疗（项）：指行政单位基本医疗保险缴费经费，未参加医疗保险的行政单位的公费医疗经费，按国家规定享受离休人员、红军老战士待遇人员的医疗经费。</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12.卫生健康支出（类）行政事业单位医疗（款）事业单位医疗（项）：指事业单位基本医疗保险缴费经费，未参加医疗保险的事业单位的公费医疗经费，按国家规定享受离休人员待遇的医疗经费。</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13.卫生健康支出（类）行政事业单位医疗（款）公务员医疗补助（项）：指公务员医疗补助经费。</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 xml:space="preserve">14.卫生健康支出（类）行政事业单位医疗（款）其他行政事业单位医疗支出（项）：指其他用于行政事业单位医疗方面的支出。  </w:t>
      </w:r>
    </w:p>
    <w:p>
      <w:pPr>
        <w:pStyle w:val="18"/>
        <w:adjustRightInd w:val="0"/>
        <w:snapToGrid w:val="0"/>
        <w:spacing w:beforeLines="0" w:before="93" w:line="576" w:lineRule="exact"/>
        <w:rPr>
          <w:rFonts w:cs="仿宋_GB2312" w:hint="eastAsia"/>
          <w:sz w:val="32"/>
          <w:szCs w:val="32"/>
        </w:rPr>
      </w:pPr>
      <w:r>
        <w:rPr>
          <w:rFonts w:cs="仿宋_GB2312" w:hint="eastAsia"/>
          <w:sz w:val="32"/>
          <w:szCs w:val="32"/>
        </w:rPr>
        <w:t xml:space="preserve">    15．农林水支出（类）其他农林水支出（款）其他农林水支出（项）：指除化解债务支出以外其他用于农林水方面的支出。</w:t>
      </w:r>
    </w:p>
    <w:p>
      <w:pPr>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16.住房保障支出（类）住房改革支出（款）住房公积金（项）：指行政事业单位按人力资源和社会保障部、财政部规定的基本工资和津贴补贴以及规定比例为职工缴纳的住房公积金。</w:t>
      </w:r>
    </w:p>
    <w:p>
      <w:pPr>
        <w:adjustRightInd w:val="0"/>
        <w:snapToGrid w:val="0"/>
        <w:spacing w:line="576"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17.基本支出：指为保障机构正常运转、完成日常工作任务而发生的人员支出和公用支出。</w:t>
      </w:r>
    </w:p>
    <w:p>
      <w:pPr>
        <w:adjustRightInd w:val="0"/>
        <w:snapToGrid w:val="0"/>
        <w:spacing w:line="576" w:lineRule="exact"/>
        <w:ind w:firstLineChars="200" w:firstLine="640"/>
        <w:rPr>
          <w:rFonts w:ascii="仿宋_GB2312" w:eastAsia="仿宋_GB2312" w:cs="仿宋_GB2312" w:hint="eastAsia"/>
          <w:color w:val="000000"/>
          <w:sz w:val="32"/>
          <w:szCs w:val="32"/>
        </w:rPr>
      </w:pPr>
      <w:r>
        <w:rPr>
          <w:rFonts w:ascii="仿宋_GB2312" w:eastAsia="仿宋_GB2312" w:cs="仿宋_GB2312" w:hint="eastAsia"/>
          <w:color w:val="000000"/>
          <w:sz w:val="32"/>
          <w:szCs w:val="32"/>
        </w:rPr>
        <w:t xml:space="preserve">18.项目支出：指在基本支出之外为完成特定行政任务和事业发展目标所发生的支出。 </w:t>
      </w:r>
    </w:p>
    <w:p>
      <w:pPr>
        <w:pStyle w:val="33"/>
        <w:adjustRightInd w:val="0"/>
        <w:snapToGrid w:val="0"/>
        <w:spacing w:line="576"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adjustRightInd w:val="0"/>
        <w:snapToGrid w:val="0"/>
        <w:spacing w:line="576" w:lineRule="exact"/>
        <w:ind w:firstLineChars="200" w:firstLine="640"/>
        <w:rPr>
          <w:rFonts w:ascii="仿宋_GB2312" w:eastAsia="仿宋_GB2312"/>
          <w:sz w:val="32"/>
          <w:szCs w:val="32"/>
        </w:rPr>
      </w:pPr>
      <w:r>
        <w:rPr>
          <w:rFonts w:ascii="仿宋_GB2312" w:eastAsia="仿宋_GB2312" w:cs="仿宋_GB2312" w:hint="eastAsia"/>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
        <w:rPr>
          <w:rFonts w:ascii="宋体"/>
        </w:rPr>
        <w:sectPr>
          <w:headerReference w:type="default" r:id="rId2"/>
          <w:footerReference w:type="default" r:id="rId3"/>
          <w:footerReference w:type="first" r:id="rId4"/>
          <w:pgSz w:w="11906" w:h="16838"/>
          <w:pgMar w:top="1440" w:right="1800" w:bottom="1440" w:left="1800" w:header="851" w:footer="992" w:gutter="0"/>
          <w:pgNumType w:start="1"/>
          <w:titlePg/>
          <w:docGrid w:type="lines" w:linePitch="312" w:charSpace="0"/>
        </w:sectPr>
      </w:pPr>
      <w:bookmarkStart w:id="93" w:name="_Toc15377226"/>
    </w:p>
    <w:p>
      <w:pPr>
        <w:pStyle w:val="1"/>
        <w:jc w:val="center"/>
        <w:rPr>
          <w:rStyle w:val="1Char"/>
          <w:rFonts w:ascii="黑体" w:eastAsia="黑体" w:hint="eastAsia"/>
          <w:b w:val="0"/>
          <w:bCs w:val="0"/>
        </w:rPr>
      </w:pPr>
      <w:bookmarkStart w:id="94" w:name="_Toc176901982"/>
      <w:bookmarkStart w:id="95" w:name="_Toc15396614"/>
      <w:r>
        <w:rPr>
          <w:rFonts w:ascii="黑体" w:eastAsia="黑体" w:hint="eastAsia"/>
        </w:rPr>
        <w:t>第</w:t>
      </w:r>
      <w:r>
        <w:rPr>
          <w:rStyle w:val="1Char"/>
          <w:rFonts w:ascii="黑体" w:eastAsia="黑体" w:hint="eastAsia"/>
          <w:b w:val="0"/>
          <w:bCs w:val="0"/>
        </w:rPr>
        <w:t>四部分 附件</w:t>
      </w:r>
      <w:bookmarkEnd w:id="94"/>
      <w:bookmarkEnd w:id="95"/>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3"/>
        <w:gridCol w:w="1667"/>
        <w:gridCol w:w="1010"/>
        <w:gridCol w:w="2518"/>
        <w:gridCol w:w="466"/>
        <w:gridCol w:w="2073"/>
        <w:gridCol w:w="466"/>
        <w:gridCol w:w="2116"/>
        <w:gridCol w:w="486"/>
        <w:gridCol w:w="486"/>
        <w:gridCol w:w="2263"/>
      </w:tblGrid>
      <w:tr>
        <w:trPr>
          <w:trHeight w:val="746"/>
        </w:trPr>
        <w:tc>
          <w:tcPr>
            <w:tcW w:w="141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51040022T000000391819-宗教工作专项经费</w:t>
            </w:r>
          </w:p>
        </w:tc>
      </w:tr>
      <w:tr>
        <w:trPr>
          <w:trHeight w:val="513"/>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6"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506"/>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提升宗教界人士综合素质，提高宗教工作干部管理水平。</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提升了宗教界人士综合素质，提高宗教工作干部管理水平。</w:t>
            </w:r>
          </w:p>
        </w:tc>
      </w:tr>
      <w:tr>
        <w:trPr>
          <w:trHeight w:val="69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对宗教界人士开展培训，对全市宗教工作干部开展2次培训，召开全市宗教工作会议3次以上，宗教工作干部外出参加学习、培训、考察、会议、对接工作等8次以上，提升了宗教界人士综合素质，提高了宗教工作干部管理水平。</w:t>
            </w:r>
          </w:p>
        </w:tc>
      </w:tr>
      <w:tr>
        <w:trPr>
          <w:trHeight w:val="360"/>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34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9.88</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9.88</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39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9.88</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9.88</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40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36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10"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宣传及办公经费</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次</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7</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67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宗教工作干部外出参加学习、培训、考察、会议、对接工作等</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次</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8</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67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对宗教界人士开展培训，对全市宗教工作干部开展1次培训</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次</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召开宗教工作会议</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次</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135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培训、会议质量</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按照培训、会议相关规定严格执行，提升宗教界人士综合素质，提高宗教工作干部管理水平。</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按照培训、会议相关规定严格执行，提升宗教界人士综合素质，提高宗教工作干部管理水平。</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48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按工作计划</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2023年</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03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规范宗教宗教工作管理</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为坚持我国宗教中国华方向，提升宗教团体和宗教活动场所自身建设和规范化管理水平，积极引导宗教与社会主义社会相适应，维持我市宗教界长期和谐稳定。</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为坚持我国宗教中国华方向，提升宗教团体和宗教活动场所自身建设和规范化管理水平，积极引导宗教与社会主义社会相适应，维持我市宗教界长期和谐稳定。</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服务对象满意度指标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宗教界人士和宗教工作干部</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10"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外出参加学习、培训、考察、会议、对接工作等</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2.2万元</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开展培训</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4.6万元</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宣传及办公经费</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0.8万元</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召开宗教工作会议</w:t>
            </w:r>
          </w:p>
        </w:tc>
        <w:tc>
          <w:tcPr>
            <w:tcW w:w="466"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466"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2.28万元</w:t>
            </w:r>
          </w:p>
        </w:tc>
        <w:tc>
          <w:tcPr>
            <w:tcW w:w="486"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3" w:type="dxa"/>
            <w:tcBorders>
              <w:top w:val="nil"/>
              <w:left w:val="nil"/>
              <w:bottom w:val="nil"/>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single" w:sz="4" w:space="0" w:color="auto"/>
              <w:left w:val="nil"/>
              <w:bottom w:val="single" w:sz="4" w:space="0" w:color="auto"/>
              <w:right w:val="single" w:sz="4" w:space="0" w:color="auto"/>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3" w:type="dxa"/>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adjustRightInd w:val="0"/>
        <w:snapToGrid w:val="0"/>
        <w:spacing w:line="576" w:lineRule="exact"/>
        <w:jc w:val="left"/>
        <w:outlineLvl w:val="0"/>
        <w:rPr>
          <w:rStyle w:val="35"/>
          <w:rFonts w:ascii="黑体" w:eastAsia="黑体" w:hint="eastAsia"/>
          <w:b w:val="0"/>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3"/>
        <w:gridCol w:w="1667"/>
        <w:gridCol w:w="1010"/>
        <w:gridCol w:w="2518"/>
        <w:gridCol w:w="466"/>
        <w:gridCol w:w="2073"/>
        <w:gridCol w:w="466"/>
        <w:gridCol w:w="2116"/>
        <w:gridCol w:w="486"/>
        <w:gridCol w:w="486"/>
        <w:gridCol w:w="2263"/>
      </w:tblGrid>
      <w:tr>
        <w:trPr>
          <w:trHeight w:val="705"/>
        </w:trPr>
        <w:tc>
          <w:tcPr>
            <w:tcW w:w="141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90"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4" w:type="dxa"/>
            <w:gridSpan w:val="9"/>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51040022T000000391824-困难宗教界人士生活补助费</w:t>
            </w:r>
          </w:p>
        </w:tc>
      </w:tr>
      <w:tr>
        <w:trPr>
          <w:trHeight w:val="513"/>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6"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466"/>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缓解宗教界人士困难，确保我市宗教领域和谐稳定。</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在一定程度上缓解宗教界人士困难，确保我市宗教领域和谐稳定。</w:t>
            </w:r>
          </w:p>
        </w:tc>
      </w:tr>
      <w:tr>
        <w:trPr>
          <w:trHeight w:val="544"/>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慰问48人次，有效维护我市宗教界的和谐稳定。</w:t>
            </w:r>
          </w:p>
        </w:tc>
      </w:tr>
      <w:tr>
        <w:trPr>
          <w:trHeight w:val="360"/>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34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39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40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36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3" w:type="dxa"/>
            <w:vMerge w:val="restart"/>
            <w:tcBorders>
              <w:top w:val="nil"/>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340"/>
        </w:trPr>
        <w:tc>
          <w:tcPr>
            <w:tcW w:w="623" w:type="dxa"/>
            <w:vMerge/>
            <w:tcBorders>
              <w:top w:val="nil"/>
              <w:left w:val="single" w:sz="4" w:space="0" w:color="auto"/>
              <w:bottom w:val="nil"/>
              <w:right w:val="single" w:sz="4" w:space="0" w:color="auto"/>
            </w:tcBorders>
            <w:noWrap/>
            <w:vAlign w:val="center"/>
          </w:tcP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10"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18"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宗教界人士</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40</w:t>
            </w:r>
          </w:p>
        </w:tc>
        <w:tc>
          <w:tcPr>
            <w:tcW w:w="466"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人次</w:t>
            </w:r>
          </w:p>
        </w:tc>
        <w:tc>
          <w:tcPr>
            <w:tcW w:w="2116"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48</w:t>
            </w:r>
          </w:p>
        </w:tc>
        <w:tc>
          <w:tcPr>
            <w:tcW w:w="486"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3" w:type="dxa"/>
            <w:tcBorders>
              <w:top w:val="nil"/>
              <w:left w:val="nil"/>
              <w:bottom w:val="nil"/>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1349"/>
        </w:trPr>
        <w:tc>
          <w:tcPr>
            <w:tcW w:w="623" w:type="dxa"/>
            <w:vMerge/>
            <w:tcBorders>
              <w:top w:val="nil"/>
              <w:left w:val="single" w:sz="4" w:space="0" w:color="auto"/>
              <w:bottom w:val="nil"/>
              <w:right w:val="single" w:sz="4" w:space="0" w:color="auto"/>
            </w:tcBorders>
            <w:noWrap/>
            <w:vAlign w:val="center"/>
          </w:tcPr>
          <w:p/>
        </w:tc>
        <w:tc>
          <w:tcPr>
            <w:tcW w:w="1667" w:type="dxa"/>
            <w:vMerge/>
            <w:tcBorders>
              <w:top w:val="single" w:sz="4" w:space="0" w:color="auto"/>
              <w:left w:val="single" w:sz="4" w:space="0" w:color="auto"/>
              <w:bottom w:val="single" w:sz="4" w:space="0" w:color="auto"/>
              <w:right w:val="single" w:sz="4" w:space="0" w:color="auto"/>
            </w:tcBorders>
            <w:noWrap/>
            <w:vAlign w:val="center"/>
          </w:tcPr>
          <w:p/>
        </w:tc>
        <w:tc>
          <w:tcPr>
            <w:tcW w:w="1010"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518"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缓解困难程度</w:t>
            </w:r>
          </w:p>
        </w:tc>
        <w:tc>
          <w:tcPr>
            <w:tcW w:w="466" w:type="dxa"/>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解决我市宗教界人士的现实困难，体现党和政府对宗教界人士的关心关怀。</w:t>
            </w:r>
          </w:p>
        </w:tc>
        <w:tc>
          <w:tcPr>
            <w:tcW w:w="466"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single" w:sz="4" w:space="0" w:color="000000"/>
              <w:left w:val="single" w:sz="4" w:space="0" w:color="000000"/>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解决我市宗教界人士的现实困难，体现党和政府对宗教界人士的关心关怀。</w:t>
            </w:r>
          </w:p>
        </w:tc>
        <w:tc>
          <w:tcPr>
            <w:tcW w:w="486"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3" w:type="dxa"/>
            <w:tcBorders>
              <w:top w:val="single" w:sz="4" w:space="0" w:color="auto"/>
              <w:left w:val="nil"/>
              <w:bottom w:val="nil"/>
              <w:right w:val="single" w:sz="4" w:space="0" w:color="auto"/>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23" w:type="dxa"/>
            <w:vMerge/>
            <w:tcBorders>
              <w:top w:val="nil"/>
              <w:left w:val="single" w:sz="4" w:space="0" w:color="auto"/>
              <w:bottom w:val="nil"/>
              <w:right w:val="single" w:sz="4" w:space="0" w:color="auto"/>
            </w:tcBorders>
            <w:noWrap/>
            <w:vAlign w:val="center"/>
          </w:tcPr>
          <w:p/>
        </w:tc>
        <w:tc>
          <w:tcPr>
            <w:tcW w:w="1667" w:type="dxa"/>
            <w:vMerge/>
            <w:tcBorders>
              <w:top w:val="single" w:sz="4" w:space="0" w:color="auto"/>
              <w:left w:val="single" w:sz="4" w:space="0" w:color="auto"/>
              <w:bottom w:val="single" w:sz="4" w:space="0" w:color="auto"/>
              <w:right w:val="single" w:sz="4" w:space="0" w:color="auto"/>
            </w:tcBorders>
            <w:noWrap/>
            <w:vAlign w:val="center"/>
          </w:tcPr>
          <w:p/>
        </w:tc>
        <w:tc>
          <w:tcPr>
            <w:tcW w:w="1010"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18"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按工作计划</w:t>
            </w:r>
          </w:p>
        </w:tc>
        <w:tc>
          <w:tcPr>
            <w:tcW w:w="466" w:type="dxa"/>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2023年</w:t>
            </w:r>
          </w:p>
        </w:tc>
        <w:tc>
          <w:tcPr>
            <w:tcW w:w="466"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w:t>
            </w:r>
          </w:p>
        </w:tc>
        <w:tc>
          <w:tcPr>
            <w:tcW w:w="2116" w:type="dxa"/>
            <w:tcBorders>
              <w:top w:val="single" w:sz="4" w:space="0" w:color="000000"/>
              <w:left w:val="single" w:sz="4" w:space="0" w:color="000000"/>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86"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single" w:sz="4" w:space="0" w:color="auto"/>
              <w:left w:val="nil"/>
              <w:bottom w:val="nil"/>
              <w:right w:val="single" w:sz="4" w:space="0" w:color="auto"/>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865"/>
        </w:trPr>
        <w:tc>
          <w:tcPr>
            <w:tcW w:w="623" w:type="dxa"/>
            <w:vMerge/>
            <w:tcBorders>
              <w:top w:val="nil"/>
              <w:left w:val="single" w:sz="4" w:space="0" w:color="auto"/>
              <w:bottom w:val="nil"/>
              <w:right w:val="single" w:sz="4" w:space="0" w:color="auto"/>
            </w:tcBorders>
            <w:noWrap/>
            <w:vAlign w:val="center"/>
          </w:tcPr>
          <w:p/>
        </w:tc>
        <w:tc>
          <w:tcPr>
            <w:tcW w:w="1667" w:type="dxa"/>
            <w:tcBorders>
              <w:top w:val="nil"/>
              <w:left w:val="nil"/>
              <w:bottom w:val="single" w:sz="4" w:space="0" w:color="auto"/>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10"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18"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落实党的宗教政策</w:t>
            </w:r>
          </w:p>
        </w:tc>
        <w:tc>
          <w:tcPr>
            <w:tcW w:w="466" w:type="dxa"/>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落实党的宗教政策，有效维护我市宗教界的和谐稳定</w:t>
            </w:r>
          </w:p>
        </w:tc>
        <w:tc>
          <w:tcPr>
            <w:tcW w:w="466"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single" w:sz="4" w:space="0" w:color="000000"/>
              <w:left w:val="single" w:sz="4" w:space="0" w:color="000000"/>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落实党的宗教政策，有效维护我市宗教界的和谐稳定</w:t>
            </w:r>
          </w:p>
        </w:tc>
        <w:tc>
          <w:tcPr>
            <w:tcW w:w="486"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single" w:sz="4" w:space="0" w:color="auto"/>
              <w:left w:val="nil"/>
              <w:bottom w:val="nil"/>
              <w:right w:val="single" w:sz="4" w:space="0" w:color="auto"/>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600"/>
        </w:trPr>
        <w:tc>
          <w:tcPr>
            <w:tcW w:w="623" w:type="dxa"/>
            <w:vMerge/>
            <w:tcBorders>
              <w:top w:val="nil"/>
              <w:left w:val="single" w:sz="4" w:space="0" w:color="auto"/>
              <w:bottom w:val="nil"/>
              <w:right w:val="single" w:sz="4" w:space="0" w:color="auto"/>
            </w:tcBorders>
            <w:noWrap/>
            <w:vAlign w:val="center"/>
          </w:tcPr>
          <w:p/>
        </w:tc>
        <w:tc>
          <w:tcPr>
            <w:tcW w:w="16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10" w:type="dxa"/>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服务对象满意度指标</w:t>
            </w:r>
          </w:p>
        </w:tc>
        <w:tc>
          <w:tcPr>
            <w:tcW w:w="2518"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困难宗教界人士</w:t>
            </w:r>
          </w:p>
        </w:tc>
        <w:tc>
          <w:tcPr>
            <w:tcW w:w="466" w:type="dxa"/>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single" w:sz="4" w:space="0" w:color="auto"/>
              <w:left w:val="nil"/>
              <w:bottom w:val="nil"/>
              <w:right w:val="single" w:sz="4" w:space="0" w:color="auto"/>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600"/>
        </w:trPr>
        <w:tc>
          <w:tcPr>
            <w:tcW w:w="623" w:type="dxa"/>
            <w:vMerge/>
            <w:tcBorders>
              <w:top w:val="nil"/>
              <w:left w:val="single" w:sz="4" w:space="0" w:color="auto"/>
              <w:bottom w:val="nil"/>
              <w:right w:val="single" w:sz="4" w:space="0" w:color="auto"/>
            </w:tcBorders>
            <w:noWrap/>
            <w:vAlign w:val="center"/>
          </w:tcPr>
          <w:p/>
        </w:tc>
        <w:tc>
          <w:tcPr>
            <w:tcW w:w="1667"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10"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18"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平均每人补助2500元，共计10万元</w:t>
            </w:r>
          </w:p>
        </w:tc>
        <w:tc>
          <w:tcPr>
            <w:tcW w:w="466" w:type="dxa"/>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66"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single" w:sz="4" w:space="0" w:color="000000"/>
              <w:bottom w:val="nil"/>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single" w:sz="4" w:space="0" w:color="auto"/>
              <w:left w:val="single" w:sz="4" w:space="0" w:color="auto"/>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single" w:sz="4" w:space="0" w:color="auto"/>
              <w:left w:val="nil"/>
              <w:bottom w:val="nil"/>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single" w:sz="4" w:space="0" w:color="auto"/>
              <w:left w:val="nil"/>
              <w:bottom w:val="nil"/>
              <w:right w:val="single" w:sz="4" w:space="0" w:color="auto"/>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single" w:sz="4" w:space="0" w:color="auto"/>
              <w:left w:val="nil"/>
              <w:bottom w:val="single" w:sz="4" w:space="0" w:color="auto"/>
              <w:right w:val="single" w:sz="4" w:space="0" w:color="auto"/>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single" w:sz="4" w:space="0" w:color="auto"/>
              <w:left w:val="nil"/>
              <w:bottom w:val="single" w:sz="4" w:space="0" w:color="auto"/>
              <w:right w:val="single" w:sz="4" w:space="0" w:color="auto"/>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3" w:type="dxa"/>
            <w:tcBorders>
              <w:top w:val="single" w:sz="4" w:space="0" w:color="auto"/>
              <w:left w:val="nil"/>
              <w:bottom w:val="single" w:sz="4" w:space="0" w:color="auto"/>
              <w:right w:val="single" w:sz="4" w:space="0" w:color="auto"/>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widowControl/>
        <w:adjustRightInd w:val="0"/>
        <w:snapToGrid w:val="0"/>
        <w:spacing w:line="576" w:lineRule="exact"/>
        <w:ind w:firstLineChars="200" w:firstLine="640"/>
        <w:jc w:val="left"/>
        <w:rPr>
          <w:rFonts w:ascii="仿宋" w:eastAsia="仿宋" w:cs="仿宋" w:hint="eastAsia"/>
          <w:b/>
          <w:bCs/>
          <w:color w:val="333333"/>
          <w:sz w:val="32"/>
          <w:szCs w:val="32"/>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16"/>
        <w:gridCol w:w="1628"/>
        <w:gridCol w:w="990"/>
        <w:gridCol w:w="2450"/>
        <w:gridCol w:w="461"/>
        <w:gridCol w:w="2020"/>
        <w:gridCol w:w="756"/>
        <w:gridCol w:w="2068"/>
        <w:gridCol w:w="486"/>
        <w:gridCol w:w="486"/>
        <w:gridCol w:w="2213"/>
      </w:tblGrid>
      <w:tr>
        <w:trPr>
          <w:trHeight w:val="702"/>
        </w:trPr>
        <w:tc>
          <w:tcPr>
            <w:tcW w:w="14174"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44" w:type="dxa"/>
            <w:gridSpan w:val="2"/>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930" w:type="dxa"/>
            <w:gridSpan w:val="9"/>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51040022T000000391840-宗教界人士慰问费</w:t>
            </w:r>
          </w:p>
        </w:tc>
      </w:tr>
      <w:tr>
        <w:trPr>
          <w:trHeight w:val="513"/>
        </w:trPr>
        <w:tc>
          <w:tcPr>
            <w:tcW w:w="22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677"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068"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18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16"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28"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677"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253"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887"/>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vMerge/>
            <w:tcBorders>
              <w:top w:val="nil"/>
              <w:left w:val="single" w:sz="4" w:space="0" w:color="000000"/>
              <w:bottom w:val="single" w:sz="4" w:space="0" w:color="000000"/>
              <w:right w:val="single" w:sz="4" w:space="0" w:color="000000"/>
            </w:tcBorders>
            <w:noWrap/>
            <w:vAlign w:val="center"/>
          </w:tcPr>
          <w:p/>
        </w:tc>
        <w:tc>
          <w:tcPr>
            <w:tcW w:w="6677"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进一步团结宗教界人士，加强与宗教界人士间的沟通交流，将他们团结在党和政府周围，带领全市信教公民共同维护我市宗教领域和谐稳定。</w:t>
            </w:r>
          </w:p>
        </w:tc>
        <w:tc>
          <w:tcPr>
            <w:tcW w:w="5253"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进一步团结宗教界人士，加强与宗教界人士间的沟通交流，将他们团结在党和政府周围，带领全市信教公民共同维护我市宗教领域和谐稳定。</w:t>
            </w:r>
          </w:p>
        </w:tc>
      </w:tr>
      <w:tr>
        <w:trPr>
          <w:trHeight w:val="504"/>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930"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慰问宗教界人员45人次，带领全市信教公民共同维护我市宗教领域和谐稳定。</w:t>
            </w:r>
          </w:p>
        </w:tc>
      </w:tr>
      <w:tr>
        <w:trPr>
          <w:trHeight w:val="360"/>
        </w:trPr>
        <w:tc>
          <w:tcPr>
            <w:tcW w:w="616"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237"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345"/>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5.00</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5.00</w:t>
            </w:r>
          </w:p>
        </w:tc>
        <w:tc>
          <w:tcPr>
            <w:tcW w:w="3237"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5.00</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1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390"/>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5.00</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5.00</w:t>
            </w:r>
          </w:p>
        </w:tc>
        <w:tc>
          <w:tcPr>
            <w:tcW w:w="3237"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5.00</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13" w:type="dxa"/>
            <w:vMerge/>
            <w:tcBorders>
              <w:top w:val="nil"/>
              <w:left w:val="single" w:sz="4" w:space="0" w:color="000000"/>
              <w:bottom w:val="single" w:sz="4" w:space="0" w:color="000000"/>
              <w:right w:val="single" w:sz="4" w:space="0" w:color="000000"/>
            </w:tcBorders>
            <w:noWrap/>
            <w:vAlign w:val="center"/>
          </w:tcPr>
          <w:p/>
        </w:tc>
      </w:tr>
      <w:tr>
        <w:trPr>
          <w:trHeight w:val="408"/>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237"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13" w:type="dxa"/>
            <w:vMerge/>
            <w:tcBorders>
              <w:top w:val="nil"/>
              <w:left w:val="single" w:sz="4" w:space="0" w:color="000000"/>
              <w:bottom w:val="single" w:sz="4" w:space="0" w:color="000000"/>
              <w:right w:val="single" w:sz="4" w:space="0" w:color="000000"/>
            </w:tcBorders>
            <w:noWrap/>
            <w:vAlign w:val="center"/>
          </w:tcPr>
          <w:p/>
        </w:tc>
      </w:tr>
      <w:tr>
        <w:trPr>
          <w:trHeight w:val="360"/>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237"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13" w:type="dxa"/>
            <w:vMerge/>
            <w:tcBorders>
              <w:top w:val="nil"/>
              <w:left w:val="single" w:sz="4" w:space="0" w:color="000000"/>
              <w:bottom w:val="single" w:sz="4" w:space="0" w:color="000000"/>
              <w:right w:val="single" w:sz="4" w:space="0" w:color="000000"/>
            </w:tcBorders>
            <w:noWrap/>
            <w:vAlign w:val="center"/>
          </w:tcPr>
          <w:p/>
        </w:tc>
      </w:tr>
      <w:tr>
        <w:trPr>
          <w:trHeight w:val="340"/>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237"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13"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16"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2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75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453"/>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宗教界人士</w:t>
            </w:r>
          </w:p>
        </w:tc>
        <w:tc>
          <w:tcPr>
            <w:tcW w:w="46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2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40</w:t>
            </w:r>
          </w:p>
        </w:tc>
        <w:tc>
          <w:tcPr>
            <w:tcW w:w="75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人/次</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1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453"/>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vMerge/>
            <w:tcBorders>
              <w:top w:val="nil"/>
              <w:left w:val="single" w:sz="4" w:space="0" w:color="000000"/>
              <w:bottom w:val="single" w:sz="4" w:space="0" w:color="000000"/>
              <w:right w:val="single" w:sz="4" w:space="0" w:color="000000"/>
            </w:tcBorders>
            <w:noWrap/>
            <w:vAlign w:val="center"/>
          </w:tcP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工作积极性</w:t>
            </w:r>
          </w:p>
        </w:tc>
        <w:tc>
          <w:tcPr>
            <w:tcW w:w="46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2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提高宗教界人士开展宗教工作积极性</w:t>
            </w:r>
          </w:p>
        </w:tc>
        <w:tc>
          <w:tcPr>
            <w:tcW w:w="75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提高宗教界人士开展宗教工作积极性</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1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vMerge/>
            <w:tcBorders>
              <w:top w:val="nil"/>
              <w:left w:val="single" w:sz="4" w:space="0" w:color="000000"/>
              <w:bottom w:val="single" w:sz="4" w:space="0" w:color="000000"/>
              <w:right w:val="single" w:sz="4" w:space="0" w:color="000000"/>
            </w:tcBorders>
            <w:noWrap/>
            <w:vAlign w:val="center"/>
          </w:tcP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按工作计划</w:t>
            </w:r>
          </w:p>
        </w:tc>
        <w:tc>
          <w:tcPr>
            <w:tcW w:w="46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2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2023年</w:t>
            </w:r>
          </w:p>
        </w:tc>
        <w:tc>
          <w:tcPr>
            <w:tcW w:w="75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2023年</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1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678"/>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落实党的宗教政策</w:t>
            </w:r>
          </w:p>
        </w:tc>
        <w:tc>
          <w:tcPr>
            <w:tcW w:w="46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2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凝聚广大宗教界人士爱国、爱党、爱教的同心力</w:t>
            </w:r>
          </w:p>
        </w:tc>
        <w:tc>
          <w:tcPr>
            <w:tcW w:w="75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凝聚广大宗教界人士爱国、爱党、爱教的同心力</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1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453"/>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服务对象满意度指标</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宗教界人士</w:t>
            </w:r>
          </w:p>
        </w:tc>
        <w:tc>
          <w:tcPr>
            <w:tcW w:w="46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2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75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1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678"/>
        </w:trPr>
        <w:tc>
          <w:tcPr>
            <w:tcW w:w="616" w:type="dxa"/>
            <w:vMerge/>
            <w:tcBorders>
              <w:top w:val="nil"/>
              <w:left w:val="single" w:sz="4" w:space="0" w:color="000000"/>
              <w:bottom w:val="single" w:sz="4" w:space="0" w:color="000000"/>
              <w:right w:val="single" w:sz="4" w:space="0" w:color="000000"/>
            </w:tcBorders>
            <w:noWrap/>
            <w:vAlign w:val="center"/>
          </w:tcPr>
          <w:p/>
        </w:tc>
        <w:tc>
          <w:tcPr>
            <w:tcW w:w="162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99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45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平均每人补助</w:t>
            </w:r>
          </w:p>
        </w:tc>
        <w:tc>
          <w:tcPr>
            <w:tcW w:w="46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2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1250</w:t>
            </w:r>
          </w:p>
        </w:tc>
        <w:tc>
          <w:tcPr>
            <w:tcW w:w="75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元/人·次</w:t>
            </w:r>
          </w:p>
        </w:tc>
        <w:tc>
          <w:tcPr>
            <w:tcW w:w="206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平均每人补助1111元，共计5万元</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1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8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1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pStyle w:val="15"/>
        <w:rPr>
          <w:rFonts w:ascii="仿宋_GB2312" w:eastAsia="仿宋_GB2312"/>
          <w:sz w:val="32"/>
          <w:szCs w:val="32"/>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3"/>
        <w:gridCol w:w="1667"/>
        <w:gridCol w:w="1010"/>
        <w:gridCol w:w="2518"/>
        <w:gridCol w:w="466"/>
        <w:gridCol w:w="2073"/>
        <w:gridCol w:w="466"/>
        <w:gridCol w:w="2116"/>
        <w:gridCol w:w="486"/>
        <w:gridCol w:w="486"/>
        <w:gridCol w:w="2263"/>
      </w:tblGrid>
      <w:tr>
        <w:trPr>
          <w:trHeight w:val="653"/>
        </w:trPr>
        <w:tc>
          <w:tcPr>
            <w:tcW w:w="141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51040022T000000391841-宗教团体工作经费</w:t>
            </w:r>
          </w:p>
        </w:tc>
      </w:tr>
      <w:tr>
        <w:trPr>
          <w:trHeight w:val="402"/>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6"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70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给予各全市性宗教团体一定金额工作经费补助，能直接、效缓解宗教界工作经费紧张，匹配现实需求。</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给予各全市性宗教团体一定金额工作经费补助，能直接、效缓解宗教界工作经费紧张，匹配现实需求。</w:t>
            </w:r>
          </w:p>
        </w:tc>
      </w:tr>
      <w:tr>
        <w:trPr>
          <w:trHeight w:val="69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补助4个团体，加强我市各全市性宗教团体的组织、思想、制度等建设。</w:t>
            </w:r>
          </w:p>
        </w:tc>
      </w:tr>
      <w:tr>
        <w:trPr>
          <w:trHeight w:val="360"/>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21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26.80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26.80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30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26.80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26.80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26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36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316"/>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宗教团体个数</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个</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989"/>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全市性宗教团体工作</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效缓解宗教界工作经费紧张，有效维护我市宗教界的和谐稳定。</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效缓解宗教界工作经费紧张，有效维护我市宗教界的和谐稳定。</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09"/>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完成时间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76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维护我市宗教界的和谐稳定</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加强我市各全市性宗教团体的组织、思想、制度等建设。</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加强我市各全市性宗教团体的组织、思想、制度等建设。</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89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服务对象满意度指标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宗教界人士</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补助4个宗教团体</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26.8</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26.8</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widowControl/>
        <w:adjustRightInd w:val="0"/>
        <w:snapToGrid w:val="0"/>
        <w:spacing w:line="576" w:lineRule="exact"/>
        <w:ind w:firstLineChars="200" w:firstLine="640"/>
        <w:jc w:val="left"/>
        <w:rPr>
          <w:rFonts w:ascii="仿宋_GB2312" w:eastAsia="仿宋_GB2312" w:hint="eastAsia"/>
          <w:color w:val="333333"/>
          <w:sz w:val="32"/>
          <w:szCs w:val="32"/>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1"/>
        <w:gridCol w:w="1667"/>
        <w:gridCol w:w="1009"/>
        <w:gridCol w:w="2518"/>
        <w:gridCol w:w="466"/>
        <w:gridCol w:w="2073"/>
        <w:gridCol w:w="466"/>
        <w:gridCol w:w="2116"/>
        <w:gridCol w:w="486"/>
        <w:gridCol w:w="486"/>
        <w:gridCol w:w="2266"/>
      </w:tblGrid>
      <w:tr>
        <w:trPr>
          <w:trHeight w:val="540"/>
        </w:trPr>
        <w:tc>
          <w:tcPr>
            <w:tcW w:w="141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6"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51040022T000006671737-向上争取资金工作经费</w:t>
            </w:r>
          </w:p>
        </w:tc>
      </w:tr>
      <w:tr>
        <w:trPr>
          <w:trHeight w:val="513"/>
        </w:trPr>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2"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6"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1"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2"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4"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584"/>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2"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做好省、市民族资金项目调查、筛选、规划、申报，争取省级民族资金到位3700余万元。</w:t>
            </w:r>
          </w:p>
        </w:tc>
        <w:tc>
          <w:tcPr>
            <w:tcW w:w="5354"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做好省、市民族资金项目调查、筛选、规划、申报，争取上级民族专项资金4149万元。</w:t>
            </w:r>
          </w:p>
        </w:tc>
      </w:tr>
      <w:tr>
        <w:trPr>
          <w:trHeight w:val="522"/>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6"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做好省、市民族资金项目调查、筛选、规划、申报，争取上级民族专项资金4149万元。</w:t>
            </w:r>
          </w:p>
        </w:tc>
      </w:tr>
      <w:tr>
        <w:trPr>
          <w:trHeight w:val="360"/>
        </w:trPr>
        <w:tc>
          <w:tcPr>
            <w:tcW w:w="621"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345"/>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17.75</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17.75</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6"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39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17.75</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17.75</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408"/>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36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34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1"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453"/>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争取到位省级民族资金</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3700</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4149</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104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认真做好省、市民族资金项目调查、筛选、规划、申报。</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认真做好省、市民族资金项目调查、筛选、规划、申报，争取省级民族资金。</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认真做好省、市民族资金项目调查、筛选、规划、申报，争取省级民族资金。</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53"/>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完成时间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102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围绕脱贫攻坚加快经济社会发展，落实民族地区支持政策，努力改善民族地区民生。</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围绕脱贫攻坚加快经济社会发展，落实民族地区支持政策，努力改善民族地区民生。</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围绕脱贫攻坚加快经济社会发展，落实民族地区支持政策，努力改善民族地区民生。</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53"/>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服务对象满意度指标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民区群众满意度</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34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差旅费、办公费</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17.75</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17.75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pStyle w:val="15"/>
        <w:rPr>
          <w:rFonts w:ascii="仿宋_GB2312" w:eastAsia="仿宋_GB2312"/>
          <w:sz w:val="32"/>
          <w:szCs w:val="32"/>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1"/>
        <w:gridCol w:w="1667"/>
        <w:gridCol w:w="1009"/>
        <w:gridCol w:w="2521"/>
        <w:gridCol w:w="466"/>
        <w:gridCol w:w="2073"/>
        <w:gridCol w:w="466"/>
        <w:gridCol w:w="2113"/>
        <w:gridCol w:w="486"/>
        <w:gridCol w:w="486"/>
        <w:gridCol w:w="2266"/>
      </w:tblGrid>
      <w:tr>
        <w:trPr>
          <w:trHeight w:val="650"/>
        </w:trPr>
        <w:tc>
          <w:tcPr>
            <w:tcW w:w="141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6"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51040023T000007919139-关于下达2022年市级少数民族发展资金和自发迁居农民专项资金</w:t>
            </w:r>
          </w:p>
        </w:tc>
      </w:tr>
      <w:tr>
        <w:trPr>
          <w:trHeight w:val="513"/>
        </w:trPr>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5"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3"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1"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5"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708"/>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5"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维护民族宗教领域和谐稳定、提升民族宗教干部业务能力、少数民族群众自我发展能力，推进攀枝花市民族团结进步创建工作，进一步铸牢中华民族共同体意识。</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维护民族宗教领域和谐稳定、提升民族宗教干部业务能力、少数民族群众自我发展能力，推进攀枝花市民族团结进步创建工作，进一步铸牢中华民族共同体意识。</w:t>
            </w:r>
          </w:p>
        </w:tc>
      </w:tr>
      <w:tr>
        <w:trPr>
          <w:trHeight w:val="603"/>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6"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开展干部培训、两项资金管理、民族团结进步创建活动、城市民族工作等项目。</w:t>
            </w:r>
          </w:p>
        </w:tc>
      </w:tr>
      <w:tr>
        <w:trPr>
          <w:trHeight w:val="360"/>
        </w:trPr>
        <w:tc>
          <w:tcPr>
            <w:tcW w:w="621"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282"/>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37.90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37.90</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6"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243"/>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37.90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37.90</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205"/>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166"/>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34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1"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182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09"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少数民族流动人口服务管理信息化平台建设，编制民族工作应知应会手册，攀枝花市中小学“铸牢中华民族共同体意识”主题教育资源开发与运用，开展全市民族团结进步创建和新时代城市民族工作“互观互检互学”活动，开展民族团结进步创建活动相关工作。</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中华民族共同体意识宣传资料印制1000册以上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册</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1000册以上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56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开展民族专项资金项目公示、宣传、民族资金管理业务工作会议、项目绩效评价、项目指导调研、民族资金管理工作调研、档案数字化、项目管理培训等。</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次</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182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开展民族地区特殊困难群众帮扶及春节慰问，开展民族宗教领域风险防范排查及调研，开展民族宗教领域矛盾纠纷调处，开展民族地区禁毒防艾宣传，开展城市社区民族工作创新试点，城市少数民族流动人口服务管理等经费。</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次</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226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开展民族地区重要产业和特色产业科技实用技术培训，包括芒果、养殖业、民族地区旅游康养、网红电商等乡村实用人才培养、少数民族劳动技能培训2000人次，开展民宗系统干部和乡（镇）、村（社区）民族宗教工作干部铸牢中华民族共同体意识培训，民族宗教干部培训、联合开展驻村第一书记培训，民宗干校运行保障经费</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2000</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人次</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2022年全市驻村第一书记（含民族村）培训班，2023年开展全市统战委员读书班暨民族宗教工作干部综合能力提升班</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72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促进各民族交流交往交融，铸牢中华民族共同体意识</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促进各民族交流交往交融，铸牢中华民族共同体意识</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促进各民族交流交往交融，铸牢中华民族共同体意识</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617"/>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全市民族宗教工作领域保持稳定</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全市民族宗教工作领域保持稳定</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全市民族宗教工作领域保持稳定</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78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提升民族宗教干部业务能力、少数民族群众自我发展能力</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提升民族宗教干部业务能力、少数民族群众自我发展能力</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提升民族宗教干部业务能力、少数民族群众自我发展能力</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214"/>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完成时间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885"/>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维护民族宗教领域和谐稳定，促进民族地区各项事业发展</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维护民族宗教领域和谐稳定，促进民族地区各项事业发展</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维护民族宗教领域和谐稳定，促进民族地区各项事业发展</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785"/>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服务对象满意度指标</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受益群众满意度</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198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09"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少数民族流动人口服务管理信息化平台建设，编制民族工作应知应会手册，攀枝花市中小学“铸牢中华民族共同体意识”主题教育资源开发与运用，开展全市民族团结进步创建和新时代城市民族工作“互观互检互学”活动，开展民族团结进步创建活动相关工作。</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13.75</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13.75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19"/>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开展民族专项资金项目公示、宣传、民族资金管理业务工作会议、项目绩效评价、项目指导调研、民族资金管理工作调研、档案数字化、项目管理培训等。</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2.36</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2.36</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164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开展民族地区特殊困难群众帮扶及春节慰问，开展民族宗教领域风险防范排查及调研，开展民族宗教领域矛盾纠纷调处，开展民族地区禁毒防艾宣传，开展城市社区民族工作创新试点，城市少数民族流动人口服务管理等经费。</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0.34</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0.34</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254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21"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开展民族地区重要产业和特色产业科技实用技术培训，包括芒果、养殖业、民族地区旅游康养、网红电商等乡村实用人才培养、少数民族劳动技能培训2000人次，开展民宗系统干部和乡（镇）、村（社区）民族宗教工作干部铸牢中华民族共同体意识培训，民族宗教干部培训、联合开展驻村第一书记培训，民宗干校运行保障经费</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21.45</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21.45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pStyle w:val="17"/>
        <w:rPr>
          <w:rFonts w:eastAsia="仿宋_GB2312"/>
          <w:sz w:val="32"/>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1"/>
        <w:gridCol w:w="1667"/>
        <w:gridCol w:w="1009"/>
        <w:gridCol w:w="2518"/>
        <w:gridCol w:w="466"/>
        <w:gridCol w:w="2076"/>
        <w:gridCol w:w="466"/>
        <w:gridCol w:w="2113"/>
        <w:gridCol w:w="486"/>
        <w:gridCol w:w="486"/>
        <w:gridCol w:w="2266"/>
      </w:tblGrid>
      <w:tr>
        <w:trPr>
          <w:trHeight w:val="905"/>
        </w:trPr>
        <w:tc>
          <w:tcPr>
            <w:tcW w:w="141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6"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51040023T000009910298-2023创建全国民族团结进步示范市经费</w:t>
            </w:r>
          </w:p>
        </w:tc>
      </w:tr>
      <w:tr>
        <w:trPr>
          <w:trHeight w:val="513"/>
        </w:trPr>
        <w:tc>
          <w:tcPr>
            <w:tcW w:w="228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5"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3"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8"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1"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5"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132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5"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根据《中共攀枝花市委办公室攀枝花市人民政府办公室关于印发〈攀枝花市创建全国民族团结进步示范市实施方案〉的通知》文件精神，结合工作开展实际情况，专项用于创建宣传氛围营造、点拉打造等工作，把我市积极创建成全国民族团结示范市。</w:t>
            </w:r>
          </w:p>
        </w:tc>
      </w:tr>
      <w:tr>
        <w:trPr>
          <w:trHeight w:val="61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6"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编印民族团结宣传册、宣传品、广告及其他宣传，开展民族团结进步宣传月活动，开展业务培训等，把我市积极创建成全国民族团结示范市。</w:t>
            </w:r>
          </w:p>
        </w:tc>
      </w:tr>
      <w:tr>
        <w:trPr>
          <w:trHeight w:val="360"/>
        </w:trPr>
        <w:tc>
          <w:tcPr>
            <w:tcW w:w="621"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8"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345"/>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51.07</w:t>
            </w:r>
          </w:p>
        </w:tc>
        <w:tc>
          <w:tcPr>
            <w:tcW w:w="3008"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48.33</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94.64%</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6"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39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51.07</w:t>
            </w:r>
          </w:p>
        </w:tc>
        <w:tc>
          <w:tcPr>
            <w:tcW w:w="3008"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48.33</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94.64%</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408"/>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8"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36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8"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34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8"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6"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1"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267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09"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编印民族团结宣传册、宣传品、广告及其他宣传</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全市民族宗教系统在各类媒体播发民族团结进步知识3.2万条（次），发放《创建全国民族团结进步示范市倡议书》等宣传品（资料）10万余份等宣传费用，及其他示范市创建工作办公经费共计12.25万元。</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12.25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62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在市级主流媒体开设一个民族团结进步宣传栏</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5.45</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5.45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62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在攀枝花广播电台宣传民族团结进步示范市创建</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1.4</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1.4</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62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开展民族团结进步宣传月活动</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16.59</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16.59</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62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创建全国民族团结示范市美术书法摄影作品比赛</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9.34</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53"/>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全国民族团结进步示范市创建工作业务培训</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2.64</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3.3</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130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把我市积极创建成全国民族团结示范市</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促进各民族交流交往交融，铸牢中华民族共同体意识，把我市创建成全国民族团结示范市</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促进各民族交流交往交融，铸牢中华民族共同体意识，把我市创建成全国民族团结示范市</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53"/>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完成时间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63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把我市创建成全国民族团结示范市，促进民族地区各项事业发展</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把我市创建成全国民族团结示范市，促进民族地区各项事业发展</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把我市创建成全国民族团结示范市，促进民族地区各项事业发展</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53"/>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服务对象满意度指标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受益群众满意度</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5</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60"/>
        </w:trPr>
        <w:tc>
          <w:tcPr>
            <w:tcW w:w="621"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09"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完成我市创建全国民族团结示范市工作开展有关经费</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48.33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48.33</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6"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6"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pStyle w:val="17"/>
        <w:rPr>
          <w:rFonts w:eastAsia="仿宋_GB2312"/>
          <w:sz w:val="32"/>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3"/>
        <w:gridCol w:w="1667"/>
        <w:gridCol w:w="1010"/>
        <w:gridCol w:w="2518"/>
        <w:gridCol w:w="466"/>
        <w:gridCol w:w="2073"/>
        <w:gridCol w:w="466"/>
        <w:gridCol w:w="2116"/>
        <w:gridCol w:w="486"/>
        <w:gridCol w:w="486"/>
        <w:gridCol w:w="2263"/>
      </w:tblGrid>
      <w:tr>
        <w:trPr>
          <w:trHeight w:val="654"/>
        </w:trPr>
        <w:tc>
          <w:tcPr>
            <w:tcW w:w="141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51040023T000009923313-全市性宗教团体和宗教活动场所慰问</w:t>
            </w:r>
          </w:p>
        </w:tc>
      </w:tr>
      <w:tr>
        <w:trPr>
          <w:trHeight w:val="513"/>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6"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70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通过对各全市性宗教团体和活动场所给予慰问，解决各全市性宗教团体和宗教活动场所的一些实际困难，进一步加强我市各全市性宗教团体的建设。</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通过对各全市性宗教团体和活动场所给予慰问，解决各全市性宗教团体和宗教活动场所的一些实际困难，进一步加强我市各全市性宗教团体的建设。</w:t>
            </w:r>
          </w:p>
        </w:tc>
      </w:tr>
      <w:tr>
        <w:trPr>
          <w:trHeight w:val="562"/>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对32个宗教团体场进行慰问。</w:t>
            </w:r>
          </w:p>
        </w:tc>
      </w:tr>
      <w:tr>
        <w:trPr>
          <w:trHeight w:val="277"/>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34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3.20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3.20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39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3.20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3.20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297"/>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26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宗教团体场所个数</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32</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个</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32</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全市性宗教团体场所慰问情况</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加强我市各全市性宗教团体的建设</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加强我市各全市性宗教团体的建设</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32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完成时间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68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加强我市各全市性宗教团体的组织、思想、制度等建设</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加强我市各全市性宗教团体的组织、思想、制度等建设</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加强我市各全市性宗教团体的组织、思想、制度等建设</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服务对象满意度指标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信教群众</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全市性宗教团体和宗教活动场所慰问</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3.2</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3.2</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pStyle w:val="17"/>
        <w:rPr>
          <w:rFonts w:eastAsia="仿宋_GB2312"/>
          <w:sz w:val="32"/>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3"/>
        <w:gridCol w:w="1667"/>
        <w:gridCol w:w="1010"/>
        <w:gridCol w:w="2518"/>
        <w:gridCol w:w="466"/>
        <w:gridCol w:w="2073"/>
        <w:gridCol w:w="466"/>
        <w:gridCol w:w="2116"/>
        <w:gridCol w:w="486"/>
        <w:gridCol w:w="486"/>
        <w:gridCol w:w="2263"/>
      </w:tblGrid>
      <w:tr>
        <w:trPr>
          <w:trHeight w:val="560"/>
        </w:trPr>
        <w:tc>
          <w:tcPr>
            <w:tcW w:w="141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51040023Y000008701633-物业管理费</w:t>
            </w:r>
          </w:p>
        </w:tc>
      </w:tr>
      <w:tr>
        <w:trPr>
          <w:trHeight w:val="163"/>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6"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43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确保机关形象及卫生安全，保障单位正常运转。</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对照年度目标，说明相关任务目标的完成情况（100字以内）</w:t>
            </w:r>
          </w:p>
        </w:tc>
      </w:tr>
      <w:tr>
        <w:trPr>
          <w:trHeight w:val="45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劳务派遣聘请保安、保洁，确保机关形象及卫生安全。</w:t>
            </w:r>
          </w:p>
        </w:tc>
      </w:tr>
      <w:tr>
        <w:trPr>
          <w:trHeight w:val="360"/>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171"/>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274"/>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237"/>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19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5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单位通过劳务派遣聘请保安、保洁</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人/月</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67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确保机关形象及卫生安全，保障单位正常运转。</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确保机关形象及卫生安全，保障单位正常运转。</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确保机关形象及卫生安全，保障单位正常运转。</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15</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完成时间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2023年</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90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确保机关形象及卫生安全，保障委机关及下属事业单位正常运转</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确保机关形象及卫生安全，保障委机关及下属事业单位正常运转</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确保机关形象及卫生安全，保障委机关及下属事业单位正常运转</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单位职工及外来群众满意度</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单位通过劳务派遣聘请保安、保洁</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22000</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元/年</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22000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pStyle w:val="17"/>
        <w:rPr>
          <w:rFonts w:eastAsia="仿宋_GB2312"/>
          <w:sz w:val="32"/>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3"/>
        <w:gridCol w:w="1667"/>
        <w:gridCol w:w="1010"/>
        <w:gridCol w:w="2518"/>
        <w:gridCol w:w="466"/>
        <w:gridCol w:w="2073"/>
        <w:gridCol w:w="466"/>
        <w:gridCol w:w="2116"/>
        <w:gridCol w:w="486"/>
        <w:gridCol w:w="486"/>
        <w:gridCol w:w="2263"/>
      </w:tblGrid>
      <w:tr>
        <w:trPr>
          <w:trHeight w:val="602"/>
        </w:trPr>
        <w:tc>
          <w:tcPr>
            <w:tcW w:w="141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51040023Y000008708474-攀枝花市少数民族流动人口服务管理系统运行维护费</w:t>
            </w:r>
          </w:p>
        </w:tc>
      </w:tr>
      <w:tr>
        <w:trPr>
          <w:trHeight w:val="322"/>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6"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905"/>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按我委同四川智云恒瑞科技有限公司签订的《少数民族流动人口服务管理系统技术服务项目合同》，做好少数民族民族流动人口服务信息采集，动态掌握情况，加强数据综合分析，提升服务管理质量，提高我市城市民族工作信息化、智能化水平，推进新时代民族工作不断创新发展。</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对照年度目标，说明相关任务目标的完成情况（100字以内）</w:t>
            </w:r>
          </w:p>
        </w:tc>
      </w:tr>
      <w:tr>
        <w:trPr>
          <w:trHeight w:val="494"/>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确保少数民族民族流动人口管理系统正常运转。</w:t>
            </w:r>
          </w:p>
        </w:tc>
      </w:tr>
      <w:tr>
        <w:trPr>
          <w:trHeight w:val="360"/>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18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2.90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2.90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2.90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146"/>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2.90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2.90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2.90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121"/>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7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17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10"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1套系统技术支持和第三方软件接口及其他</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套</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vMerge/>
            <w:tcBorders>
              <w:top w:val="nil"/>
              <w:left w:val="single" w:sz="4" w:space="0" w:color="000000"/>
              <w:bottom w:val="single" w:sz="4" w:space="0" w:color="000000"/>
              <w:right w:val="single" w:sz="4" w:space="0" w:color="000000"/>
            </w:tcBorders>
            <w:noWrap/>
            <w:vAlign w:val="center"/>
          </w:tcP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身份证识别使用</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次</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678"/>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质量指标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技术支持</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确保全年管理维护流动人口管理系统正常运转。</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确保全年管理维护流动人口管理系统正常运转。</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完成时间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2023年</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71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加强少数民族民族流动人口服务管理</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动态掌握情况，加强数据综合分析，提升服务管理质量，解决长期存在的少数民族流动人口“底数不清楚、情况不掌握、引导不精准、互动有困难”等难题，提高我市城市民族工作信息化、智能化水平。</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动态掌握情况，加强数据综合分析，提升服务管理质量，解决长期存在的少数民族流动人口“底数不清楚、情况不掌握、引导不精准、互动有困难”等难题，提高我市城市民族工作信息化、智能化水平。</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服务对象满意度指标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少数民族流动人口</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管理维护系统费用</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2.9</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2.9</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pStyle w:val="17"/>
        <w:rPr>
          <w:rFonts w:eastAsia="仿宋_GB2312"/>
          <w:sz w:val="32"/>
        </w:rPr>
      </w:pPr>
    </w:p>
    <w:tbl>
      <w:tblPr>
        <w:jc w:val="left"/>
        <w:tblInd w:w="0" w:type="dxa"/>
        <w:tblW w:w="1417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23"/>
        <w:gridCol w:w="1667"/>
        <w:gridCol w:w="1010"/>
        <w:gridCol w:w="2518"/>
        <w:gridCol w:w="466"/>
        <w:gridCol w:w="2073"/>
        <w:gridCol w:w="466"/>
        <w:gridCol w:w="2116"/>
        <w:gridCol w:w="486"/>
        <w:gridCol w:w="486"/>
        <w:gridCol w:w="2263"/>
      </w:tblGrid>
      <w:tr>
        <w:trPr>
          <w:trHeight w:val="765"/>
        </w:trPr>
        <w:tc>
          <w:tcPr>
            <w:tcW w:w="14174" w:type="dxa"/>
            <w:gridSpan w:val="11"/>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黑体" w:eastAsia="黑体" w:cs="宋体" w:hint="eastAsia"/>
                <w:b/>
                <w:bCs/>
                <w:color w:val="000000"/>
                <w:kern w:val="0"/>
                <w:sz w:val="30"/>
                <w:szCs w:val="30"/>
              </w:rPr>
            </w:pPr>
            <w:r>
              <w:rPr>
                <w:rFonts w:ascii="黑体" w:eastAsia="黑体" w:cs="宋体" w:hint="eastAsia"/>
                <w:b/>
                <w:bCs/>
                <w:color w:val="000000"/>
                <w:kern w:val="0"/>
                <w:sz w:val="30"/>
                <w:szCs w:val="30"/>
              </w:rPr>
              <w:t>部门预算项目支出绩效自评表（2023年度）</w:t>
            </w:r>
          </w:p>
        </w:tc>
      </w:tr>
      <w:tr>
        <w:trPr>
          <w:trHeight w:val="285"/>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项目名称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51040024T000010040844-民族团结进步表彰奖励</w:t>
            </w:r>
          </w:p>
        </w:tc>
      </w:tr>
      <w:tr>
        <w:trPr>
          <w:trHeight w:val="372"/>
        </w:trPr>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主管部门</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攀枝花市民族宗教事务委员会部门</w:t>
            </w:r>
          </w:p>
        </w:tc>
        <w:tc>
          <w:tcPr>
            <w:tcW w:w="2116" w:type="dxa"/>
            <w:tcBorders>
              <w:top w:val="nil"/>
              <w:left w:val="nil"/>
              <w:bottom w:val="nil"/>
              <w:right w:val="nil"/>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实施单位 （盖章）</w:t>
            </w:r>
          </w:p>
        </w:tc>
        <w:tc>
          <w:tcPr>
            <w:tcW w:w="3235"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攀枝花市民族宗教事务委员会</w:t>
            </w:r>
          </w:p>
        </w:tc>
      </w:tr>
      <w:tr>
        <w:trPr>
          <w:trHeight w:val="285"/>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项目基本情况</w:t>
            </w: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1.项目年度目标完成情况</w:t>
            </w: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项目年度目标</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黑体" w:eastAsia="黑体" w:cs="宋体" w:hint="eastAsia"/>
                <w:color w:val="000000"/>
                <w:kern w:val="0"/>
                <w:sz w:val="18"/>
                <w:szCs w:val="18"/>
              </w:rPr>
            </w:pPr>
            <w:r>
              <w:rPr>
                <w:rFonts w:ascii="黑体" w:eastAsia="黑体" w:cs="宋体" w:hint="eastAsia"/>
                <w:color w:val="000000"/>
                <w:kern w:val="0"/>
                <w:sz w:val="18"/>
                <w:szCs w:val="18"/>
              </w:rPr>
              <w:t>年度目标完成情况</w:t>
            </w:r>
          </w:p>
        </w:tc>
      </w:tr>
      <w:tr>
        <w:trPr>
          <w:trHeight w:val="277"/>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6533" w:type="dxa"/>
            <w:gridSpan w:val="5"/>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根据攀府发[2022]14号文，为表彰先进、激励全市广大干部群众共同做好民族工作，对民政局等65个单位和120名同志进行表彰鼓励。</w:t>
            </w:r>
          </w:p>
        </w:tc>
        <w:tc>
          <w:tcPr>
            <w:tcW w:w="5351" w:type="dxa"/>
            <w:gridSpan w:val="4"/>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黑体" w:eastAsia="黑体" w:cs="宋体" w:hint="eastAsia"/>
                <w:color w:val="000000"/>
                <w:kern w:val="0"/>
                <w:sz w:val="18"/>
                <w:szCs w:val="18"/>
              </w:rPr>
            </w:pPr>
            <w:r>
              <w:rPr>
                <w:rFonts w:ascii="黑体" w:eastAsia="黑体" w:cs="宋体" w:hint="eastAsia"/>
                <w:color w:val="000000"/>
                <w:kern w:val="0"/>
                <w:sz w:val="18"/>
                <w:szCs w:val="18"/>
              </w:rPr>
              <w:t>根据攀府发[2022]14号文，为表彰先进、激励全市广大干部群众共同做好民族工作，对民政局等65个单位和120名同志进行表彰鼓励。</w:t>
            </w:r>
          </w:p>
        </w:tc>
      </w:tr>
      <w:tr>
        <w:trPr>
          <w:trHeight w:val="381"/>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2.项目实施内容及过程概述</w:t>
            </w:r>
          </w:p>
        </w:tc>
        <w:tc>
          <w:tcPr>
            <w:tcW w:w="11884" w:type="dxa"/>
            <w:gridSpan w:val="9"/>
            <w:tcBorders>
              <w:top w:val="single" w:sz="4" w:space="0" w:color="000000"/>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对120名同志进行表彰鼓励，激励全市广大干部群众共同做好民族工作。</w:t>
            </w:r>
          </w:p>
        </w:tc>
      </w:tr>
      <w:tr>
        <w:trPr>
          <w:trHeight w:val="360"/>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预算执行情况（10分）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年度预算数（万元）</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年初预算</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调整后预算数</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预算执行数</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预算执行率</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原因</w:t>
            </w:r>
          </w:p>
        </w:tc>
      </w:tr>
      <w:tr>
        <w:trPr>
          <w:trHeight w:val="282"/>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总额</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24.00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24.00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left"/>
              <w:rPr>
                <w:rFonts w:ascii="黑体" w:eastAsia="黑体" w:cs="宋体" w:hint="eastAsia"/>
                <w:i/>
                <w:iCs/>
                <w:color w:val="000000"/>
                <w:kern w:val="0"/>
                <w:sz w:val="18"/>
                <w:szCs w:val="18"/>
              </w:rPr>
            </w:pPr>
          </w:p>
        </w:tc>
      </w:tr>
      <w:tr>
        <w:trPr>
          <w:trHeight w:val="24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其中：财政资金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24.00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24.00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347"/>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财政专户管理资金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266"/>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单位资金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0.00%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其他资金</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3005" w:type="dxa"/>
            <w:gridSpan w:val="3"/>
            <w:tcBorders>
              <w:top w:val="single" w:sz="4" w:space="0" w:color="000000"/>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263" w:type="dxa"/>
            <w:vMerge/>
            <w:tcBorders>
              <w:top w:val="nil"/>
              <w:left w:val="single" w:sz="4" w:space="0" w:color="000000"/>
              <w:bottom w:val="single" w:sz="4" w:space="0" w:color="000000"/>
              <w:right w:val="single" w:sz="4" w:space="0" w:color="000000"/>
            </w:tcBorders>
            <w:noWrap/>
            <w:vAlign w:val="center"/>
          </w:tcPr>
          <w:p/>
        </w:tc>
      </w:tr>
      <w:tr>
        <w:trPr>
          <w:trHeight w:val="453"/>
        </w:trPr>
        <w:tc>
          <w:tcPr>
            <w:tcW w:w="623"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绩效指标（90分）</w:t>
            </w: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一级指标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二级指标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三级指标</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指标性质</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指标值</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度量单位</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完成值</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权重</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得分</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未完成原因分析</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val="restart"/>
            <w:tcBorders>
              <w:top w:val="nil"/>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产出指标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数量指标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表彰人数</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120</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人</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vMerge/>
            <w:tcBorders>
              <w:top w:val="nil"/>
              <w:left w:val="single" w:sz="4" w:space="0" w:color="000000"/>
              <w:bottom w:val="single" w:sz="4" w:space="0" w:color="000000"/>
              <w:right w:val="single" w:sz="4" w:space="0" w:color="000000"/>
            </w:tcBorders>
            <w:noWrap/>
            <w:vAlign w:val="center"/>
          </w:tcP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时效指标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完成时间</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年</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2023</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155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效益指标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社会效益指标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激励全市广大干部群众共同做好民族工作</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为表彰先进、激励全市广大干部群众共同做好民族工作，对120名同志进行表彰鼓励，促进民族团结进步</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为表彰先进、激励全市广大干部群众共同做好民族工作，对120名同志进行表彰鼓励，促进民族团结进步</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453"/>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满意度指标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受益群众满意度</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定性</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达基本满意及以上</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　</w:t>
            </w:r>
          </w:p>
        </w:tc>
      </w:tr>
      <w:tr>
        <w:trPr>
          <w:trHeight w:val="340"/>
        </w:trPr>
        <w:tc>
          <w:tcPr>
            <w:tcW w:w="623" w:type="dxa"/>
            <w:vMerge/>
            <w:tcBorders>
              <w:top w:val="nil"/>
              <w:left w:val="single" w:sz="4" w:space="0" w:color="000000"/>
              <w:bottom w:val="single" w:sz="4" w:space="0" w:color="000000"/>
              <w:right w:val="single" w:sz="4" w:space="0" w:color="000000"/>
            </w:tcBorders>
            <w:noWrap/>
            <w:vAlign w:val="center"/>
          </w:tcPr>
          <w:p/>
        </w:tc>
        <w:tc>
          <w:tcPr>
            <w:tcW w:w="1667"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成本指标</w:t>
            </w:r>
          </w:p>
        </w:tc>
        <w:tc>
          <w:tcPr>
            <w:tcW w:w="1010"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经济成本指标</w:t>
            </w:r>
          </w:p>
        </w:tc>
        <w:tc>
          <w:tcPr>
            <w:tcW w:w="2518"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每人奖励2000元，共24万元</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w:t>
            </w:r>
          </w:p>
        </w:tc>
        <w:tc>
          <w:tcPr>
            <w:tcW w:w="2073"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24</w:t>
            </w:r>
          </w:p>
        </w:tc>
        <w:tc>
          <w:tcPr>
            <w:tcW w:w="46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万元</w:t>
            </w:r>
          </w:p>
        </w:tc>
        <w:tc>
          <w:tcPr>
            <w:tcW w:w="211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24</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20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center"/>
              <w:rPr>
                <w:rFonts w:ascii="微软雅黑" w:eastAsia="微软雅黑" w:cs="宋体" w:hint="eastAsia"/>
                <w:i/>
                <w:iCs/>
                <w:color w:val="000000"/>
                <w:kern w:val="0"/>
                <w:sz w:val="16"/>
                <w:szCs w:val="16"/>
              </w:rPr>
            </w:pPr>
            <w:r>
              <w:rPr>
                <w:rFonts w:ascii="微软雅黑" w:eastAsia="微软雅黑" w:cs="宋体" w:hint="eastAsia"/>
                <w:i/>
                <w:iCs/>
                <w:color w:val="000000"/>
                <w:kern w:val="0"/>
                <w:sz w:val="16"/>
                <w:szCs w:val="16"/>
              </w:rPr>
              <w:t>　</w:t>
            </w:r>
          </w:p>
        </w:tc>
      </w:tr>
      <w:tr>
        <w:trPr>
          <w:trHeight w:val="285"/>
        </w:trPr>
        <w:tc>
          <w:tcPr>
            <w:tcW w:w="10939" w:type="dxa"/>
            <w:gridSpan w:val="8"/>
            <w:tcBorders>
              <w:top w:val="single" w:sz="4" w:space="0" w:color="000000"/>
              <w:left w:val="single" w:sz="4" w:space="0" w:color="000000"/>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合计</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center"/>
              <w:rPr>
                <w:rFonts w:ascii="宋体" w:cs="宋体" w:hint="eastAsia"/>
                <w:color w:val="000000"/>
                <w:kern w:val="0"/>
                <w:sz w:val="18"/>
                <w:szCs w:val="18"/>
              </w:rPr>
            </w:pPr>
            <w:r>
              <w:rPr>
                <w:rFonts w:ascii="宋体" w:cs="宋体" w:hint="eastAsia"/>
                <w:color w:val="000000"/>
                <w:kern w:val="0"/>
                <w:sz w:val="18"/>
                <w:szCs w:val="18"/>
              </w:rPr>
              <w:t>100</w:t>
            </w:r>
          </w:p>
        </w:tc>
        <w:tc>
          <w:tcPr>
            <w:tcW w:w="486" w:type="dxa"/>
            <w:tcBorders>
              <w:top w:val="nil"/>
              <w:left w:val="nil"/>
              <w:bottom w:val="single" w:sz="4" w:space="0" w:color="000000"/>
              <w:right w:val="single" w:sz="4" w:space="0" w:color="000000"/>
            </w:tcBorders>
            <w:shd w:val="clear" w:color="auto" w:fill="auto"/>
            <w:noWrap/>
            <w:vAlign w:val="center"/>
          </w:tcPr>
          <w:p>
            <w:pPr>
              <w:widowControl/>
              <w:jc w:val="right"/>
              <w:rPr>
                <w:rFonts w:ascii="宋体" w:cs="宋体" w:hint="eastAsia"/>
                <w:color w:val="000000"/>
                <w:kern w:val="0"/>
                <w:sz w:val="18"/>
                <w:szCs w:val="18"/>
              </w:rPr>
            </w:pPr>
            <w:r>
              <w:rPr>
                <w:rFonts w:ascii="宋体" w:cs="宋体" w:hint="eastAsia"/>
                <w:color w:val="000000"/>
                <w:kern w:val="0"/>
                <w:sz w:val="18"/>
                <w:szCs w:val="18"/>
              </w:rPr>
              <w:t>100</w:t>
            </w:r>
          </w:p>
        </w:tc>
        <w:tc>
          <w:tcPr>
            <w:tcW w:w="2263" w:type="dxa"/>
            <w:tcBorders>
              <w:top w:val="nil"/>
              <w:left w:val="nil"/>
              <w:bottom w:val="single" w:sz="4" w:space="0" w:color="000000"/>
              <w:right w:val="single" w:sz="4" w:space="0" w:color="000000"/>
            </w:tcBorders>
            <w:shd w:val="clear" w:color="auto" w:fill="auto"/>
            <w:noWrap/>
            <w:vAlign w:val="center"/>
          </w:tcPr>
          <w:p>
            <w:pPr>
              <w:widowControl/>
              <w:jc w:val="left"/>
              <w:rPr>
                <w:rFonts w:ascii="宋体" w:cs="宋体" w:hint="eastAsia"/>
                <w:color w:val="000000"/>
                <w:kern w:val="0"/>
                <w:sz w:val="18"/>
                <w:szCs w:val="18"/>
              </w:rPr>
            </w:pPr>
            <w:r>
              <w:rPr>
                <w:rFonts w:ascii="宋体" w:cs="宋体" w:hint="eastAsia"/>
                <w:color w:val="000000"/>
                <w:kern w:val="0"/>
                <w:sz w:val="18"/>
                <w:szCs w:val="18"/>
              </w:rPr>
              <w:t>　</w:t>
            </w:r>
          </w:p>
        </w:tc>
      </w:tr>
    </w:tbl>
    <w:p>
      <w:pPr>
        <w:pStyle w:val="15"/>
      </w:pPr>
    </w:p>
    <w:p>
      <w:pPr>
        <w:widowControl/>
        <w:adjustRightInd w:val="0"/>
        <w:snapToGrid w:val="0"/>
        <w:spacing w:line="576" w:lineRule="exact"/>
        <w:jc w:val="left"/>
        <w:rPr>
          <w:rStyle w:val="1Char"/>
          <w:rFonts w:ascii="黑体" w:eastAsia="黑体" w:hint="eastAsia"/>
          <w:b w:val="0"/>
        </w:rPr>
        <w:sectPr>
          <w:pgSz w:w="16838" w:h="11906" w:orient="landscape"/>
          <w:pgMar w:top="1800" w:right="1440" w:bottom="1800" w:left="1440" w:header="851" w:footer="992" w:gutter="0"/>
          <w:titlePg/>
          <w:docGrid w:type="lines" w:linePitch="312" w:charSpace="0"/>
        </w:sectPr>
      </w:pPr>
    </w:p>
    <w:p>
      <w:pPr>
        <w:pStyle w:val="1"/>
        <w:jc w:val="center"/>
        <w:rPr>
          <w:rFonts w:ascii="黑体" w:eastAsia="黑体" w:hint="eastAsia"/>
          <w:b w:val="0"/>
          <w:bCs w:val="0"/>
        </w:rPr>
      </w:pPr>
      <w:bookmarkStart w:id="96" w:name="_Toc176901983"/>
      <w:bookmarkStart w:id="97" w:name="_Toc15396618"/>
      <w:r>
        <w:rPr>
          <w:rFonts w:ascii="黑体" w:eastAsia="黑体" w:hint="eastAsia"/>
          <w:b w:val="0"/>
          <w:bCs w:val="0"/>
        </w:rPr>
        <w:t>第</w:t>
      </w:r>
      <w:r>
        <w:rPr>
          <w:rStyle w:val="1Char"/>
          <w:rFonts w:ascii="黑体" w:eastAsia="黑体" w:hint="eastAsia"/>
          <w:b w:val="0"/>
          <w:bCs w:val="0"/>
        </w:rPr>
        <w:t>五部分 附表</w:t>
      </w:r>
      <w:bookmarkStart w:id="98" w:name="_Toc15396619"/>
      <w:bookmarkEnd w:id="93"/>
      <w:bookmarkEnd w:id="96"/>
      <w:bookmarkEnd w:id="97"/>
    </w:p>
    <w:p>
      <w:pPr>
        <w:pStyle w:val="2"/>
        <w:adjustRightInd w:val="0"/>
        <w:snapToGrid w:val="0"/>
        <w:spacing w:line="576" w:lineRule="exact"/>
        <w:rPr>
          <w:rFonts w:ascii="仿宋" w:eastAsia="仿宋" w:hint="eastAsia"/>
        </w:rPr>
      </w:pPr>
      <w:bookmarkStart w:id="99" w:name="_Toc176901984"/>
      <w:r>
        <w:rPr>
          <w:rFonts w:ascii="仿宋" w:eastAsia="仿宋" w:hint="eastAsia"/>
          <w:b w:val="0"/>
        </w:rPr>
        <w:t>一、收</w:t>
      </w:r>
      <w:r>
        <w:rPr>
          <w:rStyle w:val="35"/>
          <w:rFonts w:ascii="仿宋" w:eastAsia="仿宋" w:hint="eastAsia"/>
          <w:b w:val="0"/>
          <w:bCs w:val="0"/>
        </w:rPr>
        <w:t>入支出决算总表</w:t>
      </w:r>
      <w:bookmarkEnd w:id="98"/>
      <w:bookmarkEnd w:id="99"/>
    </w:p>
    <w:p>
      <w:pPr>
        <w:pStyle w:val="2"/>
        <w:adjustRightInd w:val="0"/>
        <w:snapToGrid w:val="0"/>
        <w:spacing w:line="576" w:lineRule="exact"/>
        <w:rPr>
          <w:rFonts w:ascii="仿宋" w:eastAsia="仿宋" w:hint="eastAsia"/>
        </w:rPr>
      </w:pPr>
      <w:bookmarkStart w:id="100" w:name="_Toc15396620"/>
      <w:bookmarkStart w:id="101" w:name="_Toc176901985"/>
      <w:r>
        <w:rPr>
          <w:rFonts w:ascii="仿宋" w:eastAsia="仿宋" w:hint="eastAsia"/>
          <w:b w:val="0"/>
        </w:rPr>
        <w:t>二、收</w:t>
      </w:r>
      <w:r>
        <w:rPr>
          <w:rStyle w:val="35"/>
          <w:rFonts w:ascii="仿宋" w:eastAsia="仿宋" w:hint="eastAsia"/>
          <w:b w:val="0"/>
          <w:bCs w:val="0"/>
        </w:rPr>
        <w:t>入决算表</w:t>
      </w:r>
      <w:bookmarkEnd w:id="100"/>
      <w:bookmarkEnd w:id="101"/>
    </w:p>
    <w:p>
      <w:pPr>
        <w:pStyle w:val="2"/>
        <w:adjustRightInd w:val="0"/>
        <w:snapToGrid w:val="0"/>
        <w:spacing w:line="576" w:lineRule="exact"/>
        <w:rPr>
          <w:rFonts w:ascii="仿宋" w:eastAsia="仿宋" w:hint="eastAsia"/>
        </w:rPr>
      </w:pPr>
      <w:bookmarkStart w:id="102" w:name="_Toc176901986"/>
      <w:bookmarkStart w:id="103" w:name="_Toc15396621"/>
      <w:r>
        <w:rPr>
          <w:rStyle w:val="35"/>
          <w:rFonts w:ascii="仿宋" w:eastAsia="仿宋" w:hint="eastAsia"/>
          <w:b w:val="0"/>
          <w:bCs w:val="0"/>
        </w:rPr>
        <w:t>三、</w:t>
      </w:r>
      <w:r>
        <w:rPr>
          <w:rFonts w:ascii="仿宋" w:eastAsia="仿宋" w:hint="eastAsia"/>
          <w:b w:val="0"/>
        </w:rPr>
        <w:t>支</w:t>
      </w:r>
      <w:r>
        <w:rPr>
          <w:rStyle w:val="35"/>
          <w:rFonts w:ascii="仿宋" w:eastAsia="仿宋" w:hint="eastAsia"/>
          <w:b w:val="0"/>
          <w:bCs w:val="0"/>
        </w:rPr>
        <w:t>出决算表</w:t>
      </w:r>
      <w:bookmarkEnd w:id="102"/>
      <w:bookmarkEnd w:id="103"/>
    </w:p>
    <w:p>
      <w:pPr>
        <w:pStyle w:val="2"/>
        <w:adjustRightInd w:val="0"/>
        <w:snapToGrid w:val="0"/>
        <w:spacing w:line="576" w:lineRule="exact"/>
        <w:rPr>
          <w:rFonts w:ascii="仿宋" w:eastAsia="仿宋" w:hint="eastAsia"/>
          <w:b w:val="0"/>
        </w:rPr>
      </w:pPr>
      <w:bookmarkStart w:id="104" w:name="_Toc176901987"/>
      <w:bookmarkStart w:id="105" w:name="_Toc15396622"/>
      <w:r>
        <w:rPr>
          <w:rStyle w:val="35"/>
          <w:rFonts w:ascii="仿宋" w:eastAsia="仿宋" w:hint="eastAsia"/>
          <w:b w:val="0"/>
          <w:bCs w:val="0"/>
        </w:rPr>
        <w:t>四、</w:t>
      </w:r>
      <w:r>
        <w:rPr>
          <w:rFonts w:ascii="仿宋" w:eastAsia="仿宋" w:hint="eastAsia"/>
          <w:b w:val="0"/>
        </w:rPr>
        <w:t>财</w:t>
      </w:r>
      <w:r>
        <w:rPr>
          <w:rStyle w:val="35"/>
          <w:rFonts w:ascii="仿宋" w:eastAsia="仿宋" w:hint="eastAsia"/>
          <w:b w:val="0"/>
          <w:bCs w:val="0"/>
        </w:rPr>
        <w:t>政拨款收入支出决算总表</w:t>
      </w:r>
      <w:bookmarkEnd w:id="104"/>
      <w:bookmarkEnd w:id="105"/>
    </w:p>
    <w:p>
      <w:pPr>
        <w:pStyle w:val="2"/>
        <w:adjustRightInd w:val="0"/>
        <w:snapToGrid w:val="0"/>
        <w:spacing w:line="576" w:lineRule="exact"/>
        <w:rPr>
          <w:rStyle w:val="35"/>
          <w:rFonts w:ascii="仿宋" w:eastAsia="仿宋" w:hint="eastAsia"/>
          <w:b w:val="0"/>
          <w:bCs w:val="0"/>
        </w:rPr>
      </w:pPr>
      <w:bookmarkStart w:id="106" w:name="_Toc176901988"/>
      <w:bookmarkStart w:id="107" w:name="_Toc15396623"/>
      <w:r>
        <w:rPr>
          <w:rStyle w:val="35"/>
          <w:rFonts w:ascii="仿宋" w:eastAsia="仿宋" w:hint="eastAsia"/>
          <w:b w:val="0"/>
          <w:bCs w:val="0"/>
        </w:rPr>
        <w:t>五、</w:t>
      </w:r>
      <w:r>
        <w:rPr>
          <w:rFonts w:ascii="仿宋" w:eastAsia="仿宋" w:hint="eastAsia"/>
          <w:b w:val="0"/>
        </w:rPr>
        <w:t>财</w:t>
      </w:r>
      <w:r>
        <w:rPr>
          <w:rStyle w:val="35"/>
          <w:rFonts w:ascii="仿宋" w:eastAsia="仿宋" w:hint="eastAsia"/>
          <w:b w:val="0"/>
          <w:bCs w:val="0"/>
        </w:rPr>
        <w:t>政拨款支出决算明细表</w:t>
      </w:r>
      <w:bookmarkStart w:id="108" w:name="_Toc15396624"/>
      <w:bookmarkEnd w:id="106"/>
      <w:bookmarkEnd w:id="107"/>
    </w:p>
    <w:p>
      <w:pPr>
        <w:pStyle w:val="2"/>
        <w:adjustRightInd w:val="0"/>
        <w:snapToGrid w:val="0"/>
        <w:spacing w:line="576" w:lineRule="exact"/>
        <w:rPr>
          <w:rFonts w:ascii="仿宋" w:eastAsia="仿宋" w:hint="eastAsia"/>
        </w:rPr>
      </w:pPr>
      <w:bookmarkStart w:id="109" w:name="_Toc176901989"/>
      <w:r>
        <w:rPr>
          <w:rStyle w:val="35"/>
          <w:rFonts w:ascii="仿宋" w:eastAsia="仿宋" w:hint="eastAsia"/>
          <w:b w:val="0"/>
          <w:bCs w:val="0"/>
        </w:rPr>
        <w:t>六、</w:t>
      </w:r>
      <w:r>
        <w:rPr>
          <w:rFonts w:ascii="仿宋" w:eastAsia="仿宋" w:hint="eastAsia"/>
          <w:b w:val="0"/>
        </w:rPr>
        <w:t>一</w:t>
      </w:r>
      <w:r>
        <w:rPr>
          <w:rStyle w:val="35"/>
          <w:rFonts w:ascii="仿宋" w:eastAsia="仿宋" w:hint="eastAsia"/>
          <w:b w:val="0"/>
          <w:bCs w:val="0"/>
        </w:rPr>
        <w:t>般公共预算财政拨款支出决算表</w:t>
      </w:r>
      <w:bookmarkEnd w:id="108"/>
      <w:bookmarkEnd w:id="109"/>
    </w:p>
    <w:p>
      <w:pPr>
        <w:pStyle w:val="2"/>
        <w:adjustRightInd w:val="0"/>
        <w:snapToGrid w:val="0"/>
        <w:spacing w:line="576" w:lineRule="exact"/>
        <w:rPr>
          <w:rFonts w:ascii="仿宋" w:eastAsia="仿宋" w:hint="eastAsia"/>
        </w:rPr>
      </w:pPr>
      <w:bookmarkStart w:id="110" w:name="_Toc15396625"/>
      <w:bookmarkStart w:id="111" w:name="_Toc176901990"/>
      <w:r>
        <w:rPr>
          <w:rStyle w:val="35"/>
          <w:rFonts w:ascii="仿宋" w:eastAsia="仿宋" w:hint="eastAsia"/>
          <w:b w:val="0"/>
          <w:bCs w:val="0"/>
        </w:rPr>
        <w:t>七、</w:t>
      </w:r>
      <w:r>
        <w:rPr>
          <w:rFonts w:ascii="仿宋" w:eastAsia="仿宋" w:hint="eastAsia"/>
          <w:b w:val="0"/>
        </w:rPr>
        <w:t>一</w:t>
      </w:r>
      <w:r>
        <w:rPr>
          <w:rStyle w:val="35"/>
          <w:rFonts w:ascii="仿宋" w:eastAsia="仿宋" w:hint="eastAsia"/>
          <w:b w:val="0"/>
          <w:bCs w:val="0"/>
        </w:rPr>
        <w:t>般公共预算财政拨款支出决算明细表</w:t>
      </w:r>
      <w:bookmarkEnd w:id="110"/>
      <w:bookmarkEnd w:id="111"/>
    </w:p>
    <w:p>
      <w:pPr>
        <w:pStyle w:val="2"/>
        <w:adjustRightInd w:val="0"/>
        <w:snapToGrid w:val="0"/>
        <w:spacing w:line="576" w:lineRule="exact"/>
        <w:rPr>
          <w:rFonts w:ascii="仿宋" w:eastAsia="仿宋" w:hint="eastAsia"/>
        </w:rPr>
      </w:pPr>
      <w:bookmarkStart w:id="112" w:name="_Toc15396626"/>
      <w:bookmarkStart w:id="113" w:name="_Toc176901991"/>
      <w:r>
        <w:rPr>
          <w:rStyle w:val="35"/>
          <w:rFonts w:ascii="仿宋" w:eastAsia="仿宋" w:hint="eastAsia"/>
          <w:b w:val="0"/>
          <w:bCs w:val="0"/>
        </w:rPr>
        <w:t>八、</w:t>
      </w:r>
      <w:r>
        <w:rPr>
          <w:rFonts w:ascii="仿宋" w:eastAsia="仿宋" w:hint="eastAsia"/>
          <w:b w:val="0"/>
        </w:rPr>
        <w:t>一</w:t>
      </w:r>
      <w:r>
        <w:rPr>
          <w:rStyle w:val="35"/>
          <w:rFonts w:ascii="仿宋" w:eastAsia="仿宋" w:hint="eastAsia"/>
          <w:b w:val="0"/>
          <w:bCs w:val="0"/>
        </w:rPr>
        <w:t>般公共预算财政拨款基本支出决算表</w:t>
      </w:r>
      <w:bookmarkEnd w:id="112"/>
      <w:bookmarkEnd w:id="113"/>
    </w:p>
    <w:p>
      <w:pPr>
        <w:pStyle w:val="2"/>
        <w:adjustRightInd w:val="0"/>
        <w:snapToGrid w:val="0"/>
        <w:spacing w:line="576" w:lineRule="exact"/>
        <w:rPr>
          <w:rFonts w:ascii="仿宋" w:eastAsia="仿宋" w:hint="eastAsia"/>
        </w:rPr>
      </w:pPr>
      <w:bookmarkStart w:id="114" w:name="_Toc15396627"/>
      <w:bookmarkStart w:id="115" w:name="_Toc176901992"/>
      <w:r>
        <w:rPr>
          <w:rStyle w:val="35"/>
          <w:rFonts w:ascii="仿宋" w:eastAsia="仿宋" w:hint="eastAsia"/>
          <w:b w:val="0"/>
          <w:bCs w:val="0"/>
        </w:rPr>
        <w:t>九、</w:t>
      </w:r>
      <w:r>
        <w:rPr>
          <w:rFonts w:ascii="仿宋" w:eastAsia="仿宋" w:hint="eastAsia"/>
          <w:b w:val="0"/>
        </w:rPr>
        <w:t>一</w:t>
      </w:r>
      <w:r>
        <w:rPr>
          <w:rStyle w:val="35"/>
          <w:rFonts w:ascii="仿宋" w:eastAsia="仿宋" w:hint="eastAsia"/>
          <w:b w:val="0"/>
          <w:bCs w:val="0"/>
        </w:rPr>
        <w:t>般公共预算财政拨款项目支出决算表</w:t>
      </w:r>
      <w:bookmarkEnd w:id="114"/>
      <w:bookmarkEnd w:id="115"/>
    </w:p>
    <w:p>
      <w:pPr>
        <w:pStyle w:val="2"/>
        <w:adjustRightInd w:val="0"/>
        <w:snapToGrid w:val="0"/>
        <w:spacing w:line="576" w:lineRule="exact"/>
        <w:rPr>
          <w:rFonts w:ascii="仿宋" w:eastAsia="仿宋" w:hint="eastAsia"/>
        </w:rPr>
      </w:pPr>
      <w:bookmarkStart w:id="116" w:name="_Toc15396628"/>
      <w:bookmarkStart w:id="117" w:name="_Toc176901993"/>
      <w:r>
        <w:rPr>
          <w:rStyle w:val="35"/>
          <w:rFonts w:ascii="仿宋" w:eastAsia="仿宋" w:hint="eastAsia"/>
          <w:b w:val="0"/>
          <w:bCs w:val="0"/>
        </w:rPr>
        <w:t>十、</w:t>
      </w:r>
      <w:bookmarkEnd w:id="116"/>
      <w:r>
        <w:rPr>
          <w:rFonts w:ascii="仿宋" w:eastAsia="仿宋" w:hint="eastAsia"/>
          <w:b w:val="0"/>
        </w:rPr>
        <w:t>政</w:t>
      </w:r>
      <w:r>
        <w:rPr>
          <w:rStyle w:val="35"/>
          <w:rFonts w:ascii="仿宋" w:eastAsia="仿宋" w:hint="eastAsia"/>
          <w:b w:val="0"/>
          <w:bCs w:val="0"/>
        </w:rPr>
        <w:t>府性基金预算财政拨款收入支出决算表</w:t>
      </w:r>
      <w:bookmarkEnd w:id="117"/>
    </w:p>
    <w:p>
      <w:pPr>
        <w:pStyle w:val="2"/>
        <w:adjustRightInd w:val="0"/>
        <w:snapToGrid w:val="0"/>
        <w:spacing w:line="576" w:lineRule="exact"/>
        <w:rPr>
          <w:rFonts w:ascii="仿宋" w:eastAsia="仿宋" w:hint="eastAsia"/>
        </w:rPr>
      </w:pPr>
      <w:bookmarkStart w:id="118" w:name="_Toc15396629"/>
      <w:bookmarkStart w:id="119" w:name="_Toc176901994"/>
      <w:r>
        <w:rPr>
          <w:rStyle w:val="35"/>
          <w:rFonts w:ascii="仿宋" w:eastAsia="仿宋" w:hint="eastAsia"/>
          <w:b w:val="0"/>
          <w:bCs w:val="0"/>
        </w:rPr>
        <w:t>十一、</w:t>
      </w:r>
      <w:bookmarkEnd w:id="118"/>
      <w:r>
        <w:rPr>
          <w:rFonts w:ascii="仿宋" w:eastAsia="仿宋" w:hint="eastAsia"/>
          <w:b w:val="0"/>
        </w:rPr>
        <w:t>国</w:t>
      </w:r>
      <w:r>
        <w:rPr>
          <w:rStyle w:val="35"/>
          <w:rFonts w:ascii="仿宋" w:eastAsia="仿宋" w:hint="eastAsia"/>
          <w:b w:val="0"/>
          <w:bCs w:val="0"/>
        </w:rPr>
        <w:t>有资本经营预算财政拨款收入支出决算表</w:t>
      </w:r>
      <w:bookmarkEnd w:id="119"/>
    </w:p>
    <w:p>
      <w:pPr>
        <w:pStyle w:val="2"/>
        <w:adjustRightInd w:val="0"/>
        <w:snapToGrid w:val="0"/>
        <w:spacing w:line="576" w:lineRule="exact"/>
        <w:rPr>
          <w:rFonts w:ascii="仿宋" w:eastAsia="仿宋" w:hint="eastAsia"/>
        </w:rPr>
      </w:pPr>
      <w:bookmarkStart w:id="120" w:name="_Toc15396630"/>
      <w:bookmarkStart w:id="121" w:name="_Toc176901995"/>
      <w:r>
        <w:rPr>
          <w:rStyle w:val="35"/>
          <w:rFonts w:ascii="仿宋" w:eastAsia="仿宋" w:hint="eastAsia"/>
          <w:b w:val="0"/>
          <w:bCs w:val="0"/>
        </w:rPr>
        <w:t>十二、</w:t>
      </w:r>
      <w:bookmarkEnd w:id="120"/>
      <w:r>
        <w:rPr>
          <w:rStyle w:val="35"/>
          <w:rFonts w:ascii="仿宋" w:eastAsia="仿宋" w:hint="eastAsia"/>
          <w:b w:val="0"/>
          <w:bCs w:val="0"/>
        </w:rPr>
        <w:t>国有资本经营预算财政拨款支出决算表</w:t>
      </w:r>
      <w:bookmarkEnd w:id="121"/>
    </w:p>
    <w:p>
      <w:pPr>
        <w:pStyle w:val="2"/>
        <w:adjustRightInd w:val="0"/>
        <w:snapToGrid w:val="0"/>
        <w:spacing w:line="576" w:lineRule="exact"/>
        <w:rPr>
          <w:rFonts w:eastAsia="仿宋"/>
        </w:rPr>
      </w:pPr>
      <w:bookmarkStart w:id="122" w:name="_Toc15396631"/>
      <w:bookmarkStart w:id="123" w:name="_Toc176901996"/>
      <w:r>
        <w:rPr>
          <w:rStyle w:val="35"/>
          <w:rFonts w:ascii="仿宋" w:eastAsia="仿宋" w:hint="eastAsia"/>
          <w:b w:val="0"/>
          <w:bCs w:val="0"/>
        </w:rPr>
        <w:t>十三、</w:t>
      </w:r>
      <w:bookmarkEnd w:id="122"/>
      <w:r>
        <w:rPr>
          <w:rStyle w:val="35"/>
          <w:rFonts w:ascii="仿宋" w:eastAsia="仿宋" w:hint="eastAsia"/>
          <w:b w:val="0"/>
          <w:bCs w:val="0"/>
        </w:rPr>
        <w:t>财政拨款“三公”经费支出决算表</w:t>
      </w:r>
      <w:bookmarkEnd w:id="123"/>
    </w:p>
    <w:sectPr>
      <w:pgSz w:w="11906" w:h="16838"/>
      <w:pgMar w:top="1440" w:right="1800" w:bottom="1440" w:left="1800" w:header="851" w:footer="992" w:gutter="0"/>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auto"/>
    <w:pitch w:val="variable"/>
    <w:sig w:usb0="A00002BF" w:usb1="184F6CFA" w:usb2="00000012" w:usb3="00000000" w:csb0="00040001" w:csb1="00000000"/>
  </w:font>
  <w:font w:name="方正小标宋_GBK">
    <w:panose1 w:val="03000509000000000000"/>
    <w:charset w:val="86"/>
    <w:family w:val="auto"/>
    <w:pitch w:val="variable"/>
    <w:sig w:usb0="00000001" w:usb1="080E0000" w:usb2="00000000" w:usb3="00000000" w:csb0="00040000" w:csb1="00000000"/>
  </w:font>
  <w:font w:name="黑体">
    <w:panose1 w:val="02010600030101010101"/>
    <w:charset w:val="86"/>
    <w:family w:val="auto"/>
    <w:pitch w:val="variable"/>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Calibri">
    <w:panose1 w:val="020F0502020204030204"/>
    <w:charset w:val="00"/>
    <w:family w:val="swiss"/>
    <w:pitch w:val="variable"/>
    <w:sig w:usb0="E00002FF" w:usb1="4000ACFF" w:usb2="00000001" w:usb3="00000000" w:csb0="2000019F" w:csb1="00000000"/>
  </w:font>
  <w:font w:name="Arial">
    <w:panose1 w:val="020B0604020202020204"/>
    <w:charset w:val="01"/>
    <w:family w:val="swiss"/>
    <w:pitch w:val="variable"/>
    <w:sig w:usb0="E0002EFF" w:usb1="C0007843" w:usb2="00000009" w:usb3="00000000" w:csb0="400001FF" w:csb1="FFFF0000"/>
  </w:font>
  <w:font w:name="楷体_GB2312">
    <w:panose1 w:val="02010609030101010101"/>
    <w:charset w:val="86"/>
    <w:family w:val="modern"/>
    <w:pitch w:val="variable"/>
    <w:sig w:usb0="00000001" w:usb1="080E0000" w:usb2="00000000" w:usb3="00000000" w:csb0="00040000" w:csb1="00000000"/>
  </w:font>
  <w:font w:name="仿宋">
    <w:panose1 w:val="02010609060101010101"/>
    <w:charset w:val="86"/>
    <w:family w:val="modern"/>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2000019F" w:csb1="00000000"/>
  </w:font>
  <w:font w:name="??">
    <w:altName w:val="Times New Roman"/>
    <w:panose1 w:val="00000000000000000000"/>
    <w:charset w:val="00"/>
    <w:family w:val="roman"/>
    <w:pitch w:val="variable"/>
    <w:sig w:usb0="00000000" w:usb1="00000000" w:usb2="00000000" w:usb3="00000000" w:csb0="00000000" w:csb1="00000000"/>
  </w:font>
  <w:font w:name="等线">
    <w:altName w:val="宋体"/>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variable"/>
    <w:sig w:usb0="E0002E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79696486"/>
    </w:sdtPr>
    <w:sdtContent>
      <w:p>
        <w:pPr>
          <w:pStyle w:val="21"/>
          <w:tabs>
            <w:tab w:val="center" w:pos="4153"/>
            <w:tab w:val="right" w:pos="8306"/>
          </w:tabs>
          <w:jc w:val="center"/>
        </w:pPr>
        <w:r>
          <w:fldChar w:fldCharType="begin"/>
        </w:r>
        <w:r>
          <w:instrText>PAGE   \* MERGEFORMAT</w:instrText>
        </w:r>
        <w:r>
          <w:fldChar w:fldCharType="separate"/>
        </w:r>
        <w:r>
          <w:rPr>
            <w:lang w:val="zh-CN"/>
          </w:rPr>
          <w:t>16</w:t>
        </w:r>
        <w:r>
          <w:rPr>
            <w:lang w:val="zh-CN"/>
          </w:rPr>
          <w:fldChar w:fldCharType="end"/>
        </w:r>
      </w:p>
    </w:sdtContent>
  </w:sdt>
  <w:p>
    <w:pPr>
      <w:pStyle w:val="21"/>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1"/>
      <w:tabs>
        <w:tab w:val="center" w:pos="4153"/>
        <w:tab w:val="right" w:pos="8306"/>
      </w:tabs>
      <w:jc w:val="center"/>
    </w:pPr>
    <w:r>
      <w:fldChar w:fldCharType="begin"/>
    </w:r>
    <w:r>
      <w:instrText>PAGE   \* MERGEFORMAT</w:instrText>
    </w:r>
    <w:r>
      <w:fldChar w:fldCharType="separate"/>
    </w:r>
    <w:r>
      <w:rPr>
        <w:lang w:val="zh-CN"/>
      </w:rPr>
      <w:t>1</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2FA047D"/>
    <w:multiLevelType w:val="singleLevel"/>
    <w:tmpl w:val="E2FA047D"/>
    <w:lvl w:ilvl="0">
      <w:start w:val="3"/>
      <w:numFmt w:val="chineseCounting"/>
      <w:lvlRestart w:val="0"/>
      <w:suff w:val="space"/>
      <w:lvlText w:val="第%1部分"/>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2"/>
  </w:compat>
  <w:docVars>
    <w:docVar w:name="commondata" w:val="eyJoZGlkIjoiYjY0N2QyZDc0YjU4MmU0NmM2ZjAyOWQ4YzFmZDQxNj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footnote text"/>
    <w:basedOn w:val="0"/>
    <w:next w:val="17"/>
    <w:pPr>
      <w:snapToGrid w:val="0"/>
      <w:jc w:val="left"/>
    </w:pPr>
    <w:rPr>
      <w:sz w:val="18"/>
      <w:szCs w:val="18"/>
    </w:rPr>
  </w:style>
  <w:style w:type="paragraph" w:styleId="16">
    <w:name w:val="Body Text Indent"/>
    <w:basedOn w:val="0"/>
    <w:next w:val="17"/>
    <w:pPr>
      <w:spacing w:after="120"/>
      <w:ind w:leftChars="200" w:left="200"/>
    </w:pPr>
    <w:rPr>
      <w:rFonts w:ascii="仿宋_GB2312" w:hAnsi="仿宋_GB2312"/>
      <w:szCs w:val="32"/>
    </w:rPr>
  </w:style>
  <w:style w:type="paragraph" w:styleId="17">
    <w:name w:val="Body Text First Indent 2"/>
    <w:basedOn w:val="16"/>
    <w:pPr>
      <w:ind w:firstLineChars="200" w:firstLine="200"/>
    </w:pPr>
  </w:style>
  <w:style w:type="paragraph" w:styleId="18">
    <w:name w:val="Body Text"/>
    <w:basedOn w:val="0"/>
    <w:pPr>
      <w:spacing w:beforeLines="30" w:before="30"/>
    </w:pPr>
    <w:rPr>
      <w:rFonts w:ascii="仿宋_GB2312" w:eastAsia="仿宋_GB2312"/>
      <w:kern w:val="0"/>
      <w:sz w:val="30"/>
    </w:rPr>
  </w:style>
  <w:style w:type="paragraph" w:styleId="19">
    <w:name w:val="toc 3"/>
    <w:basedOn w:val="0"/>
    <w:next w:val="0"/>
    <w:pPr>
      <w:tabs>
        <w:tab w:val="right" w:leader="dot" w:pos="8296"/>
      </w:tabs>
      <w:ind w:leftChars="400" w:left="400"/>
    </w:p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sz w:val="28"/>
      <w:szCs w:val="28"/>
    </w:rPr>
  </w:style>
  <w:style w:type="paragraph" w:styleId="24">
    <w:name w:val="toc 2"/>
    <w:basedOn w:val="0"/>
    <w:next w:val="0"/>
    <w:pPr>
      <w:tabs>
        <w:tab w:val="right" w:leader="dot" w:pos="8296"/>
      </w:tabs>
      <w:ind w:leftChars="200" w:left="200"/>
    </w:pPr>
  </w:style>
  <w:style w:type="character" w:styleId="25">
    <w:name w:val="Strong"/>
    <w:basedOn w:val="10"/>
    <w:rPr>
      <w:b/>
    </w:rPr>
  </w:style>
  <w:style w:type="character" w:styleId="26">
    <w:name w:val="page number"/>
    <w:basedOn w:val="10"/>
  </w:style>
  <w:style w:type="character" w:styleId="27">
    <w:name w:val="FollowedHyperlink"/>
    <w:basedOn w:val="10"/>
    <w:rPr>
      <w:color w:val="954F72"/>
      <w:u w:val="single"/>
    </w:rPr>
  </w:style>
  <w:style w:type="character" w:styleId="28">
    <w:name w:val="Hyperlink"/>
    <w:basedOn w:val="10"/>
    <w:rPr>
      <w:color w:val="0000FF"/>
      <w:u w:val="single"/>
    </w:rPr>
  </w:style>
  <w:style w:type="paragraph" w:customStyle="1" w:styleId="29">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30">
    <w:name w:val="Header Char"/>
    <w:basedOn w:val="10"/>
    <w:rPr>
      <w:rFonts w:ascii="Times New Roman" w:hAnsi="Times New Roman"/>
      <w:sz w:val="18"/>
      <w:szCs w:val="18"/>
    </w:rPr>
  </w:style>
  <w:style w:type="character" w:customStyle="1" w:styleId="31">
    <w:name w:val="Footer Char"/>
    <w:basedOn w:val="10"/>
    <w:rPr>
      <w:rFonts w:ascii="Times New Roman" w:hAnsi="Times New Roman"/>
      <w:sz w:val="18"/>
      <w:szCs w:val="18"/>
    </w:rPr>
  </w:style>
  <w:style w:type="character" w:customStyle="1" w:styleId="32">
    <w:name w:val="Body Text Char"/>
    <w:basedOn w:val="10"/>
    <w:rPr>
      <w:rFonts w:ascii="Times New Roman" w:hAnsi="Times New Roman"/>
      <w:szCs w:val="24"/>
    </w:rPr>
  </w:style>
  <w:style w:type="paragraph" w:customStyle="1" w:styleId="33">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4">
    <w:name w:val="List Paragraph"/>
    <w:basedOn w:val="0"/>
    <w:pPr>
      <w:ind w:firstLineChars="200" w:firstLine="200"/>
    </w:pPr>
  </w:style>
  <w:style w:type="character" w:customStyle="1" w:styleId="35">
    <w:name w:val="标题 2 字符"/>
    <w:basedOn w:val="10"/>
    <w:rPr>
      <w:rFonts w:ascii="Cambria" w:eastAsia="宋体" w:cs="Times New Roman" w:hAnsi="Cambria"/>
      <w:b/>
      <w:bCs/>
      <w:kern w:val="2"/>
      <w:sz w:val="32"/>
      <w:szCs w:val="32"/>
    </w:r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7">
    <w:name w:val="TOC 标题2"/>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8">
    <w:name w:val="四号正文"/>
    <w:basedOn w:val="0"/>
    <w:pPr>
      <w:spacing w:line="360" w:lineRule="auto"/>
    </w:pPr>
    <w:rPr>
      <w:rFonts w:ascii="??" w:hAnsi="??"/>
      <w:color w:val="000000"/>
      <w:kern w:val="0"/>
      <w:sz w:val="28"/>
      <w:szCs w:val="21"/>
      <w:lang w:val="zh-CN"/>
    </w:rPr>
  </w:style>
  <w:style w:type="paragraph" w:customStyle="1" w:styleId="39">
    <w:name w:val="TOC 标题3"/>
    <w:basedOn w:val="1"/>
    <w:next w:val="0"/>
    <w:pPr>
      <w:keepNext/>
      <w:keepLines/>
      <w:widowControl/>
      <w:spacing w:before="240" w:after="0" w:line="259" w:lineRule="auto"/>
      <w:jc w:val="left"/>
      <w:outlineLvl w:val="9"/>
    </w:pPr>
    <w:rPr>
      <w:rFonts w:ascii="Cambria" w:eastAsia="宋体" w:cs="Times New Roman" w:hAnsi="Cambria"/>
      <w:b w:val="0"/>
      <w:bCs w:val="0"/>
      <w:color w:val="366091"/>
      <w:kern w:val="0"/>
      <w:sz w:val="32"/>
      <w:szCs w:val="32"/>
    </w:rPr>
  </w:style>
  <w:style w:type="paragraph" w:customStyle="1" w:styleId="40">
    <w:name w:val="msonormal"/>
    <w:basedOn w:val="0"/>
    <w:pPr>
      <w:widowControl/>
      <w:spacing w:before="100" w:beforeAutospacing="1" w:after="100" w:afterAutospacing="1"/>
      <w:jc w:val="left"/>
    </w:pPr>
    <w:rPr>
      <w:rFonts w:ascii="宋体" w:cs="宋体"/>
      <w:kern w:val="0"/>
      <w:sz w:val="24"/>
    </w:rPr>
  </w:style>
  <w:style w:type="paragraph" w:customStyle="1" w:styleId="41">
    <w:name w:val="font5"/>
    <w:basedOn w:val="0"/>
    <w:pPr>
      <w:widowControl/>
      <w:spacing w:before="100" w:beforeAutospacing="1" w:after="100" w:afterAutospacing="1"/>
      <w:jc w:val="left"/>
    </w:pPr>
    <w:rPr>
      <w:rFonts w:ascii="等线" w:eastAsia="等线" w:cs="宋体"/>
      <w:kern w:val="0"/>
      <w:sz w:val="18"/>
      <w:szCs w:val="18"/>
    </w:rPr>
  </w:style>
  <w:style w:type="paragraph" w:customStyle="1" w:styleId="42">
    <w:name w:val="xl6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cs="宋体"/>
      <w:color w:val="000000"/>
      <w:kern w:val="0"/>
      <w:sz w:val="18"/>
      <w:szCs w:val="18"/>
    </w:rPr>
  </w:style>
  <w:style w:type="paragraph" w:customStyle="1" w:styleId="43">
    <w:name w:val="xl64"/>
    <w:basedOn w:val="0"/>
    <w:pPr>
      <w:widowControl/>
      <w:spacing w:before="100" w:beforeAutospacing="1" w:after="100" w:afterAutospacing="1"/>
      <w:jc w:val="left"/>
    </w:pPr>
    <w:rPr>
      <w:rFonts w:ascii="Courier New" w:cs="Courier New" w:hAnsi="Courier New"/>
      <w:color w:val="000000"/>
      <w:kern w:val="0"/>
      <w:sz w:val="18"/>
      <w:szCs w:val="18"/>
    </w:rPr>
  </w:style>
  <w:style w:type="paragraph" w:customStyle="1" w:styleId="44">
    <w:name w:val="xl65"/>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5">
    <w:name w:val="xl66"/>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6">
    <w:name w:val="xl67"/>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7">
    <w:name w:val="xl68"/>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cs="宋体"/>
      <w:i/>
      <w:iCs/>
      <w:color w:val="000000"/>
      <w:kern w:val="0"/>
      <w:sz w:val="16"/>
      <w:szCs w:val="16"/>
    </w:rPr>
  </w:style>
  <w:style w:type="paragraph" w:customStyle="1" w:styleId="48">
    <w:name w:val="xl69"/>
    <w:basedOn w:val="0"/>
    <w:pPr>
      <w:widowControl/>
      <w:spacing w:before="100" w:beforeAutospacing="1" w:after="100" w:afterAutospacing="1"/>
      <w:jc w:val="left"/>
    </w:pPr>
    <w:rPr>
      <w:rFonts w:ascii="宋体" w:cs="宋体"/>
      <w:kern w:val="0"/>
      <w:sz w:val="18"/>
      <w:szCs w:val="18"/>
    </w:rPr>
  </w:style>
  <w:style w:type="paragraph" w:customStyle="1" w:styleId="49">
    <w:name w:val="xl70"/>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cs="宋体"/>
      <w:b/>
      <w:bCs/>
      <w:color w:val="000000"/>
      <w:kern w:val="0"/>
      <w:sz w:val="30"/>
      <w:szCs w:val="30"/>
    </w:rPr>
  </w:style>
  <w:style w:type="paragraph" w:customStyle="1" w:styleId="50">
    <w:name w:val="xl71"/>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cs="Courier New" w:hAnsi="Courier New"/>
      <w:color w:val="000000"/>
      <w:kern w:val="0"/>
      <w:sz w:val="18"/>
      <w:szCs w:val="18"/>
    </w:rPr>
  </w:style>
  <w:style w:type="paragraph" w:customStyle="1" w:styleId="51">
    <w:name w:val="xl72"/>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color w:val="000000"/>
      <w:kern w:val="0"/>
      <w:sz w:val="18"/>
      <w:szCs w:val="18"/>
    </w:rPr>
  </w:style>
  <w:style w:type="paragraph" w:customStyle="1" w:styleId="52">
    <w:name w:val="xl7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i/>
      <w:iCs/>
      <w:color w:val="000000"/>
      <w:kern w:val="0"/>
      <w:sz w:val="18"/>
      <w:szCs w:val="18"/>
    </w:rPr>
  </w:style>
  <w:style w:type="paragraph" w:customStyle="1" w:styleId="53">
    <w:name w:val="xl74"/>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cs="宋体"/>
      <w:i/>
      <w:iCs/>
      <w:color w:val="000000"/>
      <w:kern w:val="0"/>
      <w:sz w:val="16"/>
      <w:szCs w:val="1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732499"/>
          <c:y val="0.068420805"/>
          <c:w val="0.5730186"/>
          <c:h val="0.670186"/>
        </c:manualLayout>
      </c:layout>
      <c:barChart>
        <c:barDir val="col"/>
        <c:grouping val="clustered"/>
        <c:varyColors val="0"/>
        <c:ser>
          <c:idx val="0"/>
          <c:order val="0"/>
          <c:tx>
            <c:strRef>
              <c:f>'Sheet1'!$A$2</c:f>
              <c:strCache>
                <c:ptCount val="1"/>
                <c:pt idx="0">
                  <c:v>2023年</c:v>
                </c:pt>
              </c:strCache>
            </c:strRef>
          </c:tx>
          <c:spPr>
            <a:solidFill>
              <a:srgbClr val="9999FF"/>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'Sheet1'!$B$1:$C$1</c:f>
              <c:strCache>
                <c:ptCount val="2"/>
                <c:pt idx="0">
                  <c:v>收入情况（万元）</c:v>
                </c:pt>
                <c:pt idx="1">
                  <c:v>支出情况（万元）</c:v>
                </c:pt>
              </c:strCache>
            </c:strRef>
          </c:cat>
          <c:val>
            <c:numRef>
              <c:f>'Sheet1'!$B$2:$C$2</c:f>
              <c:numCache>
                <c:formatCode>General</c:formatCode>
                <c:ptCount val="2"/>
                <c:pt idx="0">
                  <c:v>786.55</c:v>
                </c:pt>
                <c:pt idx="1">
                  <c:v>786.55</c:v>
                </c:pt>
              </c:numCache>
            </c:numRef>
          </c:val>
        </c:ser>
        <c:ser>
          <c:idx val="1"/>
          <c:order val="1"/>
          <c:tx>
            <c:strRef>
              <c:f>'Sheet1'!$A$3</c:f>
              <c:strCache>
                <c:ptCount val="1"/>
                <c:pt idx="0">
                  <c:v>2022年</c:v>
                </c:pt>
              </c:strCache>
            </c:strRef>
          </c:tx>
          <c:spPr>
            <a:solidFill>
              <a:srgbClr val="993366"/>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'Sheet1'!$B$1:$C$1</c:f>
              <c:strCache>
                <c:ptCount val="2"/>
                <c:pt idx="0">
                  <c:v>收入情况（万元）</c:v>
                </c:pt>
                <c:pt idx="1">
                  <c:v>支出情况（万元）</c:v>
                </c:pt>
              </c:strCache>
            </c:strRef>
          </c:cat>
          <c:val>
            <c:numRef>
              <c:f>'Sheet1'!$B$3:$C$3</c:f>
              <c:numCache>
                <c:formatCode>General</c:formatCode>
                <c:ptCount val="2"/>
                <c:pt idx="0">
                  <c:v>668.49</c:v>
                </c:pt>
                <c:pt idx="1">
                  <c:v>691.49</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0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77788585"/>
          <c:y val="0.1980011"/>
          <c:w val="0.21930476"/>
          <c:h val="0.33735833"/>
        </c:manualLayout>
      </c:layout>
      <c:overlay val="0"/>
      <c:spPr>
        <a:no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16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209967"/>
          <c:y val="0.06790123"/>
          <c:w val="0.3873532"/>
          <c:h val="0.88230455"/>
        </c:manualLayout>
      </c:layout>
      <c:pieChart>
        <c:varyColors val="1"/>
        <c:ser>
          <c:idx val="0"/>
          <c:order val="0"/>
          <c:tx>
            <c:strRef>
              <c:f>'Sheet1 (2)'!$A$2</c:f>
              <c:strCache>
                <c:ptCount val="1"/>
                <c:pt idx="0">
                  <c:v>2023年本年收入</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Pt>
            <c:idx val="2"/>
            <c:bubble3D val="0"/>
            <c:spPr>
              <a:solidFill>
                <a:srgbClr val="9999FF"/>
              </a:solidFill>
              <a:ln w="6350">
                <a:solidFill>
                  <a:srgbClr val="000000"/>
                </a:solidFill>
                <a:prstDash val="solid"/>
              </a:ln>
            </c:spPr>
          </c:dPt>
          <c:dLbls>
            <c:spPr>
              <a:noFill/>
              <a:ln>
                <a:noFill/>
              </a:ln>
            </c:spPr>
            <c:txPr>
              <a:bodyPr vert="horz"/>
              <a:lstStyle/>
              <a:p>
                <a:pPr>
                  <a:defRPr sz="1150" b="0" i="0" u="none" strike="noStrike" baseline="0">
                    <a:solidFill>
                      <a:srgbClr val="000000"/>
                    </a:solidFill>
                    <a:latin typeface="宋体"/>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(2)'!$B$1:$D$1</c:f>
              <c:strCache>
                <c:ptCount val="3"/>
                <c:pt idx="0">
                  <c:v>一般公共预算财政拨款收入（万元）</c:v>
                </c:pt>
                <c:pt idx="1">
                  <c:v>政府性基金预算财政拨款收入（万元）</c:v>
                </c:pt>
                <c:pt idx="2">
                  <c:v>其他收入（万元）</c:v>
                </c:pt>
              </c:strCache>
            </c:strRef>
          </c:cat>
          <c:val>
            <c:numRef>
              <c:f>'Sheet1 (2)'!$B$2:$D$2</c:f>
              <c:numCache>
                <c:formatCode>General</c:formatCode>
                <c:ptCount val="3"/>
                <c:pt idx="0">
                  <c:v>786.55</c:v>
                </c:pt>
                <c:pt idx="1">
                  <c:v>9.47</c:v>
                </c:pt>
                <c:pt idx="2">
                  <c:v>0.0</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57229227"/>
          <c:y val="0.028342854"/>
          <c:w val="0.4078849"/>
          <c:h val="0.824056"/>
        </c:manualLayout>
      </c:layout>
      <c:overlay val="0"/>
      <c:spPr>
        <a:noFill/>
        <a:ln w="6350">
          <a:solidFill>
            <a:srgbClr val="000000"/>
          </a:solidFill>
          <a:prstDash val="solid"/>
        </a:ln>
      </c:spPr>
      <c:txPr>
        <a:bodyPr/>
        <a:lstStyle/>
        <a:p>
          <a:pPr>
            <a:defRPr sz="10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11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04247"/>
          <c:y val="0.09411765"/>
          <c:w val="0.3996139"/>
          <c:h val="0.8117647"/>
        </c:manualLayout>
      </c:layout>
      <c:pieChart>
        <c:varyColors val="1"/>
        <c:ser>
          <c:idx val="0"/>
          <c:order val="0"/>
          <c:tx>
            <c:strRef>
              <c:f>'Sheet1 (3)'!$A$2</c:f>
              <c:strCache>
                <c:ptCount val="1"/>
                <c:pt idx="0">
                  <c:v>2023年</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spPr>
              <a:noFill/>
              <a:ln>
                <a:noFill/>
              </a:ln>
            </c:spPr>
            <c:txPr>
              <a:bodyPr vert="horz"/>
              <a:lstStyle/>
              <a:p>
                <a:pPr>
                  <a:defRPr sz="1200" b="0" i="0" u="none" strike="noStrike" baseline="0">
                    <a:solidFill>
                      <a:srgbClr val="000000"/>
                    </a:solidFill>
                    <a:latin typeface="宋体"/>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(3)'!$B$1:$C$1</c:f>
              <c:strCache>
                <c:ptCount val="2"/>
                <c:pt idx="0">
                  <c:v>基本支出（万元）</c:v>
                </c:pt>
                <c:pt idx="1">
                  <c:v>项目支出（万元）</c:v>
                </c:pt>
              </c:strCache>
            </c:strRef>
          </c:cat>
          <c:val>
            <c:numRef>
              <c:f>'Sheet1 (3)'!$B$2:$C$2</c:f>
              <c:numCache>
                <c:formatCode>General</c:formatCode>
                <c:ptCount val="2"/>
                <c:pt idx="0">
                  <c:v>586.88</c:v>
                </c:pt>
                <c:pt idx="1">
                  <c:v>199.67</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4240277"/>
          <c:y val="0.3559314"/>
          <c:w val="0.34087557"/>
          <c:h val="0.41023797"/>
        </c:manualLayout>
      </c:layout>
      <c:overlay val="0"/>
      <c:spPr>
        <a:noFill/>
        <a:ln w="6350">
          <a:solidFill>
            <a:srgbClr val="000000"/>
          </a:solidFill>
          <a:prstDash val="solid"/>
        </a:ln>
      </c:spPr>
      <c:txPr>
        <a:bodyPr/>
        <a:lstStyle/>
        <a:p>
          <a:pPr>
            <a:defRPr sz="110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12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62231"/>
          <c:y val="0.07584648"/>
          <c:w val="0.5730186"/>
          <c:h val="0.72227275"/>
        </c:manualLayout>
      </c:layout>
      <c:barChart>
        <c:barDir val="col"/>
        <c:grouping val="clustered"/>
        <c:varyColors val="0"/>
        <c:ser>
          <c:idx val="0"/>
          <c:order val="0"/>
          <c:tx>
            <c:strRef>
              <c:f>'Sheet1 (4)'!$A$2</c:f>
              <c:strCache>
                <c:ptCount val="1"/>
                <c:pt idx="0">
                  <c:v>2023年</c:v>
                </c:pt>
              </c:strCache>
            </c:strRef>
          </c:tx>
          <c:spPr>
            <a:solidFill>
              <a:srgbClr val="9999FF"/>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(4)'!$B$1</c:f>
              <c:strCache>
                <c:ptCount val="1"/>
                <c:pt idx="0">
                  <c:v>财政拨款收支（万元）</c:v>
                </c:pt>
              </c:strCache>
            </c:strRef>
          </c:cat>
          <c:val>
            <c:numRef>
              <c:f>Sheet1 (4)!$B$2</c:f>
              <c:numCache>
                <c:formatCode>General</c:formatCode>
                <c:ptCount val="1"/>
                <c:pt idx="0">
                  <c:v>734.15</c:v>
                </c:pt>
              </c:numCache>
            </c:numRef>
          </c:val>
        </c:ser>
        <c:ser>
          <c:idx val="1"/>
          <c:order val="1"/>
          <c:tx>
            <c:strRef>
              <c:f>'Sheet1 (4)'!$A$3</c:f>
              <c:strCache>
                <c:ptCount val="1"/>
                <c:pt idx="0">
                  <c:v>2022年</c:v>
                </c:pt>
              </c:strCache>
            </c:strRef>
          </c:tx>
          <c:spPr>
            <a:solidFill>
              <a:srgbClr val="993366"/>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(4)'!$B$1</c:f>
              <c:strCache>
                <c:ptCount val="1"/>
                <c:pt idx="0">
                  <c:v>财政拨款收支（万元）</c:v>
                </c:pt>
              </c:strCache>
            </c:strRef>
          </c:cat>
          <c:val>
            <c:numRef>
              <c:f>Sheet1 (4)!$B$3</c:f>
              <c:numCache>
                <c:formatCode>General</c:formatCode>
                <c:ptCount val="1"/>
                <c:pt idx="0">
                  <c:v>691.48</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77788585"/>
          <c:y val="0.1980011"/>
          <c:w val="0.2047486"/>
          <c:h val="0.39532948"/>
        </c:manualLayout>
      </c:layout>
      <c:overlay val="0"/>
      <c:spPr>
        <a:no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16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34057"/>
          <c:y val="0.08391608"/>
          <c:w val="0.6417357"/>
          <c:h val="0.5485053"/>
        </c:manualLayout>
      </c:layout>
      <c:barChart>
        <c:barDir val="col"/>
        <c:grouping val="clustered"/>
        <c:varyColors val="0"/>
        <c:ser>
          <c:idx val="0"/>
          <c:order val="0"/>
          <c:tx>
            <c:strRef>
              <c:f>'Sheet1 (5)'!$A$2</c:f>
              <c:strCache>
                <c:ptCount val="1"/>
                <c:pt idx="0">
                  <c:v>2022年</c:v>
                </c:pt>
              </c:strCache>
            </c:strRef>
          </c:tx>
          <c:spPr>
            <a:solidFill>
              <a:srgbClr val="9999FF"/>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(5)'!$B$1</c:f>
              <c:strCache>
                <c:ptCount val="1"/>
                <c:pt idx="0">
                  <c:v>一般公共预算财政拨款支出（万元）</c:v>
                </c:pt>
              </c:strCache>
            </c:strRef>
          </c:cat>
          <c:val>
            <c:numRef>
              <c:f>Sheet1 (5)!$B$2</c:f>
              <c:numCache>
                <c:formatCode>General</c:formatCode>
                <c:ptCount val="1"/>
                <c:pt idx="0">
                  <c:v>691.48</c:v>
                </c:pt>
              </c:numCache>
            </c:numRef>
          </c:val>
        </c:ser>
        <c:ser>
          <c:idx val="1"/>
          <c:order val="1"/>
          <c:tx>
            <c:strRef>
              <c:f>'Sheet1 (5)'!$A$3</c:f>
              <c:strCache>
                <c:ptCount val="1"/>
                <c:pt idx="0">
                  <c:v>2023年</c:v>
                </c:pt>
              </c:strCache>
            </c:strRef>
          </c:tx>
          <c:spPr>
            <a:solidFill>
              <a:srgbClr val="993366"/>
            </a:solidFill>
            <a:ln w="6350">
              <a:solidFill>
                <a:srgbClr val="000000"/>
              </a:solidFill>
              <a:prstDash val="solid"/>
            </a:ln>
          </c:spPr>
          <c:invertIfNegative val="0"/>
          <c:dLbls>
            <c:txPr>
              <a:bodyPr/>
              <a:lstStyle/>
              <a:p>
                <a:pPr>
                  <a:defRPr sz="1650" b="0" i="0" u="none" strike="noStrike" baseline="0">
                    <a:solidFill>
                      <a:srgbClr val="000000"/>
                    </a:solidFill>
                    <a:latin typeface="宋体"/>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(5)'!$B$1</c:f>
              <c:strCache>
                <c:ptCount val="1"/>
                <c:pt idx="0">
                  <c:v>一般公共预算财政拨款支出（万元）</c:v>
                </c:pt>
              </c:strCache>
            </c:strRef>
          </c:cat>
          <c:val>
            <c:numRef>
              <c:f>Sheet1 (5)!$B$3</c:f>
              <c:numCache>
                <c:formatCode>General</c:formatCode>
                <c:ptCount val="1"/>
                <c:pt idx="0">
                  <c:v>777.09</c:v>
                </c:pt>
              </c:numCache>
            </c:numRef>
          </c:val>
        </c:ser>
        <c:gapWidth val="150"/>
        <c:axId val="0"/>
        <c:axId val="1"/>
      </c:barChart>
      <c:catAx>
        <c:axId val="0"/>
        <c:scaling>
          <c:orientation val="minMax"/>
        </c:scaling>
        <c:delete val="0"/>
        <c:axPos val="b"/>
        <c:numFmt formatCode="General" sourceLinked="1"/>
        <c:majorTickMark val="in"/>
        <c:minorTickMark val="none"/>
        <c:tickLblPos val="nextTo"/>
        <c:spPr>
          <a:ln w="6350">
            <a:solidFill>
              <a:srgbClr val="000000"/>
            </a:solidFill>
            <a:prstDash val="solid"/>
          </a:ln>
        </c:spPr>
        <c:txPr>
          <a:bodyPr rot="0" vert="horz" anchor="t" anchorCtr="0"/>
          <a:lstStyle/>
          <a:p>
            <a:pPr>
              <a:defRPr sz="1200" b="0" i="0" u="none" strike="noStrike" baseline="0">
                <a:solidFill>
                  <a:srgbClr val="000000"/>
                </a:solidFill>
                <a:latin typeface="宋体"/>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000000"/>
              </a:solidFill>
              <a:prstDash val="solid"/>
            </a:ln>
          </c:spPr>
        </c:majorGridlines>
        <c:numFmt formatCode="General" sourceLinked="1"/>
        <c:majorTickMark val="in"/>
        <c:minorTickMark val="none"/>
        <c:tickLblPos val="nextTo"/>
        <c:spPr>
          <a:ln w="6350">
            <a:solidFill>
              <a:srgbClr val="000000"/>
            </a:solidFill>
            <a:prstDash val="solid"/>
          </a:ln>
        </c:spPr>
        <c:txPr>
          <a:bodyPr rot="0" vert="horz" anchor="t" anchorCtr="0"/>
          <a:lstStyle/>
          <a:p>
            <a:pPr>
              <a:defRPr sz="1650" b="0" i="0" u="none" strike="noStrike" baseline="0">
                <a:solidFill>
                  <a:srgbClr val="000000"/>
                </a:solidFill>
                <a:latin typeface="宋体"/>
                <a:ea typeface="宋体"/>
                <a:cs typeface="Lucida Sans"/>
              </a:defRPr>
            </a:pPr>
            <a:endParaRPr lang="zh-CN"/>
          </a:p>
        </c:txPr>
        <c:crossesAt val="1.0"/>
        <c:crossBetween val="between"/>
        <c:crossAx val="0"/>
      </c:valAx>
      <c:spPr>
        <a:solidFill>
          <a:srgbClr val="C0C0C0"/>
        </a:solidFill>
        <a:ln w="6350">
          <a:solidFill>
            <a:srgbClr val="808080"/>
          </a:solidFill>
          <a:prstDash val="solid"/>
        </a:ln>
      </c:spPr>
    </c:plotArea>
    <c:legend>
      <c:legendPos val="r"/>
      <c:layout>
        <c:manualLayout>
          <c:xMode val="edge"/>
          <c:yMode val="edge"/>
          <c:x val="0.8200111"/>
          <c:y val="0.25708067"/>
          <c:w val="0.1681828"/>
          <c:h val="0.29247674"/>
        </c:manualLayout>
      </c:layout>
      <c:overlay val="0"/>
      <c:spPr>
        <a:noFill/>
        <a:ln w="6350">
          <a:solidFill>
            <a:srgbClr val="000000"/>
          </a:solidFill>
          <a:prstDash val="solid"/>
        </a:ln>
      </c:spPr>
      <c:txPr>
        <a:bodyPr/>
        <a:lstStyle/>
        <a:p>
          <a:pPr>
            <a:defRPr sz="1500" b="0" i="0" u="none" strike="noStrike" baseline="0">
              <a:solidFill>
                <a:srgbClr val="000000"/>
              </a:solidFill>
              <a:latin typeface="宋体"/>
              <a:ea typeface="宋体"/>
              <a:cs typeface="Lucida Sans"/>
            </a:defRPr>
          </a:pPr>
          <a:endParaRPr lang="zh-CN"/>
        </a:p>
      </c:txPr>
    </c:legend>
    <c:plotVisOnly val="1"/>
    <c:dispBlanksAs val="gap"/>
    <c:showDLblsOverMax val="0"/>
  </c:chart>
  <c:spPr>
    <a:noFill/>
    <a:ln>
      <a:noFill/>
    </a:ln>
  </c:spPr>
  <c:txPr>
    <a:bodyPr/>
    <a:lstStyle/>
    <a:p>
      <a:pPr>
        <a:defRPr sz="165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940424"/>
          <c:y val="0.03788546"/>
          <c:w val="0.26467067"/>
          <c:h val="0.87621146"/>
        </c:manualLayout>
      </c:layout>
      <c:pieChart>
        <c:varyColors val="1"/>
        <c:ser>
          <c:idx val="0"/>
          <c:order val="0"/>
          <c:tx>
            <c:strRef>
              <c:f>'Sheet1 (6)'!$A$2</c:f>
              <c:strCache>
                <c:ptCount val="1"/>
                <c:pt idx="0">
                  <c:v>2023年</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002060"/>
              </a:solidFill>
              <a:ln w="6350">
                <a:solidFill>
                  <a:srgbClr val="000000"/>
                </a:solidFill>
                <a:prstDash val="solid"/>
              </a:ln>
            </c:spPr>
          </c:dPt>
          <c:dPt>
            <c:idx val="2"/>
            <c:bubble3D val="0"/>
            <c:spPr>
              <a:solidFill>
                <a:srgbClr val="FFFFCC"/>
              </a:solidFill>
              <a:ln w="6350">
                <a:solidFill>
                  <a:srgbClr val="000000"/>
                </a:solidFill>
                <a:prstDash val="solid"/>
              </a:ln>
            </c:spPr>
          </c:dPt>
          <c:dPt>
            <c:idx val="3"/>
            <c:bubble3D val="0"/>
            <c:spPr>
              <a:solidFill>
                <a:srgbClr val="953735"/>
              </a:solidFill>
              <a:ln w="6350">
                <a:solidFill>
                  <a:srgbClr val="000000"/>
                </a:solidFill>
                <a:prstDash val="solid"/>
              </a:ln>
            </c:spPr>
          </c:dPt>
          <c:dPt>
            <c:idx val="4"/>
            <c:bubble3D val="0"/>
            <c:spPr>
              <a:solidFill>
                <a:srgbClr val="9999FF"/>
              </a:solidFill>
              <a:ln w="6350">
                <a:solidFill>
                  <a:srgbClr val="000000"/>
                </a:solidFill>
                <a:prstDash val="solid"/>
              </a:ln>
            </c:spPr>
          </c:dPt>
          <c:dLbls>
            <c:spPr>
              <a:noFill/>
              <a:ln>
                <a:noFill/>
              </a:ln>
            </c:spPr>
            <c:txPr>
              <a:bodyPr vert="horz"/>
              <a:lstStyle/>
              <a:p>
                <a:pPr>
                  <a:defRPr sz="800" b="0" i="0" u="none" strike="noStrike" baseline="0">
                    <a:solidFill>
                      <a:srgbClr val="000000"/>
                    </a:solidFill>
                    <a:latin typeface="宋体"/>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(6)'!$B$1:$F$1</c:f>
              <c:strCache>
                <c:ptCount val="5"/>
                <c:pt idx="0">
                  <c:v>一般公共服务支出（万元）</c:v>
                </c:pt>
                <c:pt idx="1">
                  <c:v>社会保障和就业支出（万元）</c:v>
                </c:pt>
                <c:pt idx="2">
                  <c:v>卫生健康支出（万元）</c:v>
                </c:pt>
                <c:pt idx="3">
                  <c:v>农林水支出（万元）</c:v>
                </c:pt>
                <c:pt idx="4">
                  <c:v>住房保障支出（万元）</c:v>
                </c:pt>
              </c:strCache>
            </c:strRef>
          </c:cat>
          <c:val>
            <c:numRef>
              <c:f>'Sheet1 (6)'!$B$2:$F$2</c:f>
              <c:numCache>
                <c:formatCode>General</c:formatCode>
                <c:ptCount val="5"/>
                <c:pt idx="0">
                  <c:v>520.06</c:v>
                </c:pt>
                <c:pt idx="1">
                  <c:v>167.23</c:v>
                </c:pt>
                <c:pt idx="2">
                  <c:v>26.89</c:v>
                </c:pt>
                <c:pt idx="3">
                  <c:v>28.43</c:v>
                </c:pt>
                <c:pt idx="4">
                  <c:v>34.47</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0696363"/>
          <c:y val="0.21135531"/>
          <c:w val="0.32166073"/>
          <c:h val="0.6037526"/>
        </c:manualLayout>
      </c:layout>
      <c:overlay val="0"/>
      <c:spPr>
        <a:noFill/>
        <a:ln w="6350">
          <a:solidFill>
            <a:srgbClr val="000000"/>
          </a:solidFill>
          <a:prstDash val="solid"/>
        </a:ln>
      </c:spPr>
      <c:txPr>
        <a:bodyPr/>
        <a:lstStyle/>
        <a:p>
          <a:pPr>
            <a:defRPr sz="7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8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499909"/>
          <c:y val="0.14227976"/>
          <c:w val="0.26923013"/>
          <c:h val="0.6948486"/>
        </c:manualLayout>
      </c:layout>
      <c:pieChart>
        <c:varyColors val="1"/>
        <c:ser>
          <c:idx val="0"/>
          <c:order val="0"/>
          <c:tx>
            <c:strRef>
              <c:f>'Sheet1 (7)'!$A$2</c:f>
              <c:strCache>
                <c:ptCount val="1"/>
                <c:pt idx="0">
                  <c:v>2023年</c:v>
                </c:pt>
              </c:strCache>
            </c:strRef>
          </c:tx>
          <c:spPr>
            <a:solidFill>
              <a:srgbClr val="9999FF"/>
            </a:solidFill>
            <a:ln w="6350">
              <a:solidFill>
                <a:srgbClr val="000000"/>
              </a:solidFill>
              <a:prstDash val="solid"/>
            </a:ln>
          </c:spPr>
          <c:dPt>
            <c:idx val="0"/>
            <c:bubble3D val="0"/>
            <c:spPr>
              <a:solidFill>
                <a:srgbClr val="9999FF"/>
              </a:solidFill>
              <a:ln w="6350">
                <a:solidFill>
                  <a:srgbClr val="000000"/>
                </a:solidFill>
                <a:prstDash val="solid"/>
              </a:ln>
            </c:spPr>
          </c:dPt>
          <c:dPt>
            <c:idx val="1"/>
            <c:bubble3D val="0"/>
            <c:spPr>
              <a:solidFill>
                <a:srgbClr val="993366"/>
              </a:solidFill>
              <a:ln w="6350">
                <a:solidFill>
                  <a:srgbClr val="000000"/>
                </a:solidFill>
                <a:prstDash val="solid"/>
              </a:ln>
            </c:spPr>
          </c:dPt>
          <c:dLbls>
            <c:spPr>
              <a:noFill/>
              <a:ln>
                <a:noFill/>
              </a:ln>
            </c:spPr>
            <c:txPr>
              <a:bodyPr vert="horz"/>
              <a:lstStyle/>
              <a:p>
                <a:pPr>
                  <a:defRPr sz="900" b="0" i="0" u="none" strike="noStrike" baseline="0">
                    <a:solidFill>
                      <a:srgbClr val="000000"/>
                    </a:solidFill>
                    <a:latin typeface="宋体"/>
                    <a:ea typeface="宋体"/>
                    <a:cs typeface="Lucida Sans"/>
                  </a:defRPr>
                </a:pPr>
                <a:endParaRPr lang="zh-CN"/>
              </a:p>
            </c:txPr>
            <c:numFmt formatCode="General" sourceLinked="1"/>
            <c:showLegendKey val="0"/>
            <c:showVal val="1"/>
            <c:showCatName val="0"/>
            <c:showSerName val="0"/>
            <c:showPercent val="0"/>
            <c:showBubbleSize val="0"/>
            <c:showLeaderLines val="1"/>
          </c:dLbls>
          <c:cat>
            <c:strRef>
              <c:f>'Sheet1 (7)'!$B$1:$C$1</c:f>
              <c:strCache>
                <c:ptCount val="2"/>
                <c:pt idx="0">
                  <c:v>公务用车购置及运行维护费（万元）</c:v>
                </c:pt>
                <c:pt idx="1">
                  <c:v>公务接待费（万元）</c:v>
                </c:pt>
              </c:strCache>
            </c:strRef>
          </c:cat>
          <c:val>
            <c:numRef>
              <c:f>'Sheet1 (7)'!$B$2:$C$2</c:f>
              <c:numCache>
                <c:formatCode>General</c:formatCode>
                <c:ptCount val="2"/>
                <c:pt idx="0">
                  <c:v>5.36</c:v>
                </c:pt>
                <c:pt idx="1">
                  <c:v>1.17</c:v>
                </c:pt>
              </c:numCache>
            </c:numRef>
          </c:val>
        </c:ser>
        <c:firstSliceAng val="0"/>
      </c:pieChart>
      <c:spPr>
        <a:solidFill>
          <a:srgbClr val="C0C0C0"/>
        </a:solidFill>
        <a:ln w="6350">
          <a:solidFill>
            <a:srgbClr val="808080"/>
          </a:solidFill>
          <a:prstDash val="solid"/>
        </a:ln>
      </c:spPr>
    </c:plotArea>
    <c:legend>
      <c:legendPos val="r"/>
      <c:layout>
        <c:manualLayout>
          <c:xMode val="edge"/>
          <c:yMode val="edge"/>
          <c:x val="0.6177614"/>
          <c:y val="0.17006315"/>
          <c:w val="0.346605"/>
          <c:h val="0.36177817"/>
        </c:manualLayout>
      </c:layout>
      <c:overlay val="0"/>
      <c:spPr>
        <a:noFill/>
        <a:ln w="6350">
          <a:solidFill>
            <a:srgbClr val="000000"/>
          </a:solidFill>
          <a:prstDash val="solid"/>
        </a:ln>
      </c:spPr>
      <c:txPr>
        <a:bodyPr/>
        <a:lstStyle/>
        <a:p>
          <a:pPr>
            <a:defRPr sz="850" b="0" i="0" u="none" strike="noStrike" baseline="0">
              <a:solidFill>
                <a:srgbClr val="000000"/>
              </a:solidFill>
              <a:latin typeface="宋体"/>
              <a:ea typeface="宋体"/>
              <a:cs typeface="Lucida Sans"/>
            </a:defRPr>
          </a:pPr>
          <a:endParaRPr lang="zh-CN"/>
        </a:p>
      </c:txPr>
    </c:legend>
    <c:plotVisOnly val="1"/>
    <c:dispBlanksAs val="zero"/>
    <c:showDLblsOverMax val="0"/>
  </c:chart>
  <c:spPr>
    <a:noFill/>
    <a:ln>
      <a:noFill/>
    </a:ln>
  </c:spPr>
  <c:txPr>
    <a:bodyPr/>
    <a:lstStyle/>
    <a:p>
      <a:pPr>
        <a:defRPr sz="900" b="0" i="0" u="none" strike="noStrike" baseline="0">
          <a:solidFill>
            <a:srgbClr val="000000"/>
          </a:solidFill>
          <a:latin typeface="宋体"/>
          <a:ea typeface="宋体"/>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482</TotalTime>
  <Application>Yozo_Office27021597764231179</Application>
  <Pages>41</Pages>
  <Words>15079</Words>
  <Characters>17054</Characters>
  <Lines>2553</Lines>
  <Paragraphs>1580</Paragraphs>
  <CharactersWithSpaces>17301</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81</cp:revision>
  <cp:lastPrinted>2023-07-31T02:35:00Z</cp:lastPrinted>
  <dcterms:created xsi:type="dcterms:W3CDTF">2020-08-05T01:49:00Z</dcterms:created>
  <dcterms:modified xsi:type="dcterms:W3CDTF">2024-09-20T10:00:14Z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2052-10.1.0.7698</vt:lpwstr>
  </property>
  <property fmtid="{D5CDD505-2E9C-101B-9397-08002B2CF9AE}" pid="3" name="ICV">
    <vt:lpwstr>0CBD1F8D72624BAE8F5333386F0E1A56_12</vt:lpwstr>
  </property>
</Properties>
</file>